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04017" w14:textId="77777777" w:rsidR="00417DFB" w:rsidRDefault="00417DFB" w:rsidP="00B9034C">
      <w:pPr>
        <w:pStyle w:val="Formatvorlage1"/>
        <w:ind w:right="171"/>
        <w:rPr>
          <w:lang w:val="en-US"/>
        </w:rPr>
      </w:pPr>
    </w:p>
    <w:p w14:paraId="5766A924" w14:textId="382BC3B8" w:rsidR="000060E5" w:rsidRPr="003E530D" w:rsidRDefault="000060E5" w:rsidP="00B9034C">
      <w:pPr>
        <w:pStyle w:val="Formatvorlage1"/>
        <w:ind w:right="171"/>
        <w:rPr>
          <w:lang w:val="en-US"/>
        </w:rPr>
      </w:pPr>
      <w:r w:rsidRPr="003E530D">
        <w:rPr>
          <w:lang w:val="en-US"/>
        </w:rPr>
        <w:t>General Terms and Conditions of Delivery and Payment at RENFERT GmbH</w:t>
      </w:r>
    </w:p>
    <w:p w14:paraId="1873C018" w14:textId="77777777" w:rsidR="000060E5" w:rsidRPr="003E530D" w:rsidRDefault="000060E5" w:rsidP="00B9034C">
      <w:pPr>
        <w:ind w:right="171"/>
        <w:jc w:val="both"/>
        <w:rPr>
          <w:lang w:val="en-US"/>
        </w:rPr>
      </w:pPr>
    </w:p>
    <w:p w14:paraId="575F0987" w14:textId="77777777" w:rsidR="00417DFB" w:rsidRPr="003E530D" w:rsidRDefault="00417DFB" w:rsidP="00B9034C">
      <w:pPr>
        <w:ind w:right="171"/>
        <w:jc w:val="both"/>
        <w:rPr>
          <w:lang w:val="en-US"/>
        </w:rPr>
      </w:pPr>
    </w:p>
    <w:p w14:paraId="2B9D0F6B" w14:textId="77777777" w:rsidR="000060E5" w:rsidRPr="003E530D" w:rsidRDefault="00626365" w:rsidP="00C246FF">
      <w:pPr>
        <w:pStyle w:val="berschrift1"/>
        <w:ind w:left="543" w:right="171" w:hanging="362"/>
        <w:rPr>
          <w:rFonts w:ascii="Arial" w:hAnsi="Arial"/>
          <w:lang w:val="en-US"/>
        </w:rPr>
      </w:pPr>
      <w:r w:rsidRPr="003E530D">
        <w:rPr>
          <w:rFonts w:ascii="Arial" w:hAnsi="Arial"/>
          <w:lang w:val="en-US"/>
        </w:rPr>
        <w:t>1)</w:t>
      </w:r>
      <w:r w:rsidRPr="003E530D">
        <w:rPr>
          <w:rFonts w:ascii="Arial" w:hAnsi="Arial"/>
          <w:lang w:val="en-US"/>
        </w:rPr>
        <w:tab/>
        <w:t>Scope</w:t>
      </w:r>
    </w:p>
    <w:p w14:paraId="43654646" w14:textId="03E18977" w:rsidR="000060E5" w:rsidRPr="003E530D" w:rsidRDefault="000060E5" w:rsidP="00C246FF">
      <w:pPr>
        <w:pStyle w:val="FormatvorlageBlockLinks05cm"/>
        <w:ind w:left="181" w:right="171"/>
        <w:jc w:val="left"/>
        <w:rPr>
          <w:rFonts w:cs="Arial"/>
          <w:lang w:val="en-US"/>
        </w:rPr>
      </w:pPr>
      <w:r w:rsidRPr="003E530D">
        <w:rPr>
          <w:rFonts w:cs="Arial"/>
          <w:b/>
          <w:lang w:val="en-US"/>
        </w:rPr>
        <w:t xml:space="preserve">(a) </w:t>
      </w:r>
      <w:r w:rsidRPr="003E530D">
        <w:rPr>
          <w:rFonts w:cs="Arial"/>
          <w:lang w:val="en-US"/>
        </w:rPr>
        <w:t xml:space="preserve">The following terms and conditions shall apply to all and, in the case of current business relationships, also to all future business transactions concerning deliveries made by RENFERT GmbH (hereinafter: RENFERT). Deviating agreements, </w:t>
      </w:r>
      <w:proofErr w:type="gramStart"/>
      <w:r w:rsidRPr="003E530D">
        <w:rPr>
          <w:rFonts w:cs="Arial"/>
          <w:lang w:val="en-US"/>
        </w:rPr>
        <w:t>in particular in</w:t>
      </w:r>
      <w:proofErr w:type="gramEnd"/>
      <w:r w:rsidRPr="003E530D">
        <w:rPr>
          <w:rFonts w:cs="Arial"/>
          <w:lang w:val="en-US"/>
        </w:rPr>
        <w:t xml:space="preserve"> the case of contracts with representatives authorized by legal transaction or by law, require the written acknowledgement of RENFERT to be effective.</w:t>
      </w:r>
    </w:p>
    <w:p w14:paraId="1F45D36F" w14:textId="77777777" w:rsidR="000060E5" w:rsidRPr="003E530D" w:rsidRDefault="000060E5" w:rsidP="00C246FF">
      <w:pPr>
        <w:pStyle w:val="FormatvorlageBlockLinks05cm"/>
        <w:ind w:left="181" w:right="171"/>
        <w:jc w:val="left"/>
        <w:rPr>
          <w:rFonts w:cs="Arial"/>
          <w:b/>
          <w:lang w:val="en-US"/>
        </w:rPr>
      </w:pPr>
    </w:p>
    <w:p w14:paraId="57B78E62" w14:textId="0F26071C" w:rsidR="000060E5" w:rsidRPr="003E530D" w:rsidRDefault="000060E5" w:rsidP="00C246FF">
      <w:pPr>
        <w:pStyle w:val="FormatvorlageBlockLinks05cm"/>
        <w:ind w:left="181" w:right="171"/>
        <w:jc w:val="left"/>
        <w:rPr>
          <w:lang w:val="en-US"/>
        </w:rPr>
      </w:pPr>
      <w:r w:rsidRPr="003E530D">
        <w:rPr>
          <w:rFonts w:cs="Arial"/>
          <w:b/>
          <w:lang w:val="en-US"/>
        </w:rPr>
        <w:t>(b)</w:t>
      </w:r>
      <w:r w:rsidRPr="003E530D">
        <w:rPr>
          <w:rFonts w:cs="Arial"/>
          <w:lang w:val="en-US"/>
        </w:rPr>
        <w:t xml:space="preserve"> RENFERT is not bound by the customer's terms of purchase, even if RENFERT does not expressly reject them. </w:t>
      </w:r>
    </w:p>
    <w:p w14:paraId="37DE3445" w14:textId="77777777" w:rsidR="00E8416B" w:rsidRPr="003E530D" w:rsidRDefault="00E8416B" w:rsidP="00C246FF">
      <w:pPr>
        <w:ind w:left="181" w:right="171"/>
        <w:rPr>
          <w:sz w:val="20"/>
          <w:szCs w:val="20"/>
          <w:lang w:val="en-US"/>
        </w:rPr>
      </w:pPr>
    </w:p>
    <w:p w14:paraId="62881FC5" w14:textId="77777777" w:rsidR="000060E5" w:rsidRPr="003E530D" w:rsidRDefault="006A7325" w:rsidP="00C246FF">
      <w:pPr>
        <w:pStyle w:val="berschrift1"/>
        <w:ind w:left="543" w:right="171" w:hanging="362"/>
        <w:rPr>
          <w:rFonts w:ascii="Arial" w:hAnsi="Arial"/>
          <w:lang w:val="en-US"/>
        </w:rPr>
      </w:pPr>
      <w:r w:rsidRPr="003E530D">
        <w:rPr>
          <w:rFonts w:ascii="Arial" w:hAnsi="Arial"/>
          <w:lang w:val="en-US"/>
        </w:rPr>
        <w:t>2)</w:t>
      </w:r>
      <w:r w:rsidRPr="003E530D">
        <w:rPr>
          <w:rFonts w:ascii="Arial" w:hAnsi="Arial"/>
          <w:lang w:val="en-US"/>
        </w:rPr>
        <w:tab/>
        <w:t>Offer and conclusion of contract</w:t>
      </w:r>
    </w:p>
    <w:p w14:paraId="1B37A734" w14:textId="1DA429B9" w:rsidR="000060E5" w:rsidRPr="003E530D" w:rsidRDefault="003406B9" w:rsidP="00C246FF">
      <w:pPr>
        <w:pStyle w:val="FormatvorlageBlockLinks05cm"/>
        <w:ind w:left="181" w:right="171"/>
        <w:jc w:val="left"/>
        <w:rPr>
          <w:rFonts w:cs="Arial"/>
          <w:lang w:val="en-US"/>
        </w:rPr>
      </w:pPr>
      <w:r w:rsidRPr="003E530D">
        <w:rPr>
          <w:rFonts w:cs="Arial"/>
          <w:lang w:val="en-US"/>
        </w:rPr>
        <w:t>Offers by RENFERT, including the sales prices stated in RENFERT's price list, are subject to change without notice unless expressly marked as binding. Provided that an order complies with § 145 of the BGB (German Civil Code), RENFERT can accept the order within a period of two weeks. RENFERT may choose whether to accept the order explicitly by confirmation of the order or implicitly by completion of the order.</w:t>
      </w:r>
    </w:p>
    <w:p w14:paraId="0C9C5189" w14:textId="77777777" w:rsidR="000060E5" w:rsidRPr="003E530D" w:rsidRDefault="000060E5" w:rsidP="00C246FF">
      <w:pPr>
        <w:ind w:left="181" w:right="171"/>
        <w:rPr>
          <w:sz w:val="20"/>
          <w:szCs w:val="20"/>
          <w:lang w:val="en-US"/>
        </w:rPr>
      </w:pPr>
    </w:p>
    <w:p w14:paraId="63F0B49B" w14:textId="77777777" w:rsidR="000060E5" w:rsidRPr="003E530D" w:rsidRDefault="006A7325" w:rsidP="00C246FF">
      <w:pPr>
        <w:pStyle w:val="berschrift1"/>
        <w:ind w:left="543" w:right="171" w:hanging="362"/>
        <w:rPr>
          <w:rFonts w:ascii="Arial" w:hAnsi="Arial"/>
          <w:lang w:val="en-US"/>
        </w:rPr>
      </w:pPr>
      <w:r w:rsidRPr="003E530D">
        <w:rPr>
          <w:rFonts w:ascii="Arial" w:hAnsi="Arial"/>
          <w:lang w:val="en-US"/>
        </w:rPr>
        <w:t>3)</w:t>
      </w:r>
      <w:r w:rsidRPr="003E530D">
        <w:rPr>
          <w:rFonts w:ascii="Arial" w:hAnsi="Arial"/>
          <w:lang w:val="en-US"/>
        </w:rPr>
        <w:tab/>
        <w:t>List prices and flat rates</w:t>
      </w:r>
    </w:p>
    <w:p w14:paraId="244D9539" w14:textId="315A6439" w:rsidR="00D96F47" w:rsidRPr="003E530D" w:rsidRDefault="000060E5" w:rsidP="00C246FF">
      <w:pPr>
        <w:pStyle w:val="FormatvorlageBlockLinks05cm"/>
        <w:ind w:left="181" w:right="171"/>
        <w:jc w:val="left"/>
        <w:rPr>
          <w:rFonts w:cs="Arial"/>
          <w:strike/>
          <w:lang w:val="en-US"/>
        </w:rPr>
      </w:pPr>
      <w:r w:rsidRPr="003E530D">
        <w:rPr>
          <w:rFonts w:cs="Arial"/>
          <w:b/>
          <w:lang w:val="en-US"/>
        </w:rPr>
        <w:t xml:space="preserve">(a) </w:t>
      </w:r>
      <w:r w:rsidRPr="003E530D">
        <w:rPr>
          <w:rFonts w:cs="Arial"/>
          <w:lang w:val="en-US"/>
        </w:rPr>
        <w:t>RENFERT's prices are net prices in EURO excluding packaging and shipping costs and transport insurance. All prices exclude statutory VAT, if this applies. Provided that there is no contractually fixed price agreement, RENFERT reserves the right to adjust its prices accordingly at its discretion and to charge a different price from that listed without prior notice if there are substantial price increases due to higher labor costs, more expensive raw materials, fluctuations in foreign currency exchange, or other such incidents. A new price list supersedes and invalidates all previous price lists. Products that have been discontinued from the range are not listed; contact RENFERT with any enquiries about these products.</w:t>
      </w:r>
    </w:p>
    <w:p w14:paraId="4F62694C" w14:textId="77777777" w:rsidR="000060E5" w:rsidRPr="003E530D" w:rsidRDefault="000060E5" w:rsidP="00C246FF">
      <w:pPr>
        <w:pStyle w:val="FormatvorlageBlockLinks05cm"/>
        <w:ind w:left="181" w:right="171"/>
        <w:jc w:val="left"/>
        <w:rPr>
          <w:rFonts w:cs="Arial"/>
          <w:lang w:val="en-US"/>
        </w:rPr>
      </w:pPr>
    </w:p>
    <w:p w14:paraId="0D6E6E4A" w14:textId="4781DCE3" w:rsidR="000060E5" w:rsidRPr="003E530D" w:rsidRDefault="000060E5" w:rsidP="00C246FF">
      <w:pPr>
        <w:ind w:left="181" w:right="171"/>
        <w:rPr>
          <w:sz w:val="20"/>
          <w:szCs w:val="20"/>
          <w:lang w:val="en-US"/>
        </w:rPr>
      </w:pPr>
      <w:r w:rsidRPr="003E530D">
        <w:rPr>
          <w:b/>
          <w:bCs w:val="0"/>
          <w:sz w:val="20"/>
          <w:szCs w:val="20"/>
          <w:lang w:val="en-US"/>
        </w:rPr>
        <w:t>(b)</w:t>
      </w:r>
      <w:r w:rsidRPr="003E530D">
        <w:rPr>
          <w:sz w:val="20"/>
          <w:szCs w:val="20"/>
          <w:lang w:val="en-US"/>
        </w:rPr>
        <w:t xml:space="preserve"> RENFERT charges end customers a flat direct delivery fee of €25.00 for direct deliveries, </w:t>
      </w:r>
      <w:r w:rsidRPr="003E530D">
        <w:rPr>
          <w:sz w:val="20"/>
          <w:szCs w:val="20"/>
          <w:u w:val="single"/>
          <w:lang w:val="en-US"/>
        </w:rPr>
        <w:t>in addition</w:t>
      </w:r>
      <w:r w:rsidRPr="003E530D">
        <w:rPr>
          <w:sz w:val="20"/>
          <w:szCs w:val="20"/>
          <w:lang w:val="en-US"/>
        </w:rPr>
        <w:t xml:space="preserve"> to the items listed under 3) (a). </w:t>
      </w:r>
      <w:r w:rsidRPr="003E530D">
        <w:rPr>
          <w:sz w:val="20"/>
          <w:szCs w:val="20"/>
          <w:shd w:val="clear" w:color="auto" w:fill="FFFFFF" w:themeFill="background1"/>
          <w:lang w:val="en-US"/>
        </w:rPr>
        <w:t>This charge will not be applied to orders that include articles marked as “</w:t>
      </w:r>
      <w:proofErr w:type="spellStart"/>
      <w:r w:rsidRPr="003E530D">
        <w:rPr>
          <w:sz w:val="20"/>
          <w:szCs w:val="20"/>
          <w:shd w:val="clear" w:color="auto" w:fill="FFFFFF" w:themeFill="background1"/>
          <w:lang w:val="en-US"/>
        </w:rPr>
        <w:t>Ersatzteil</w:t>
      </w:r>
      <w:proofErr w:type="spellEnd"/>
      <w:r w:rsidRPr="003E530D">
        <w:rPr>
          <w:sz w:val="20"/>
          <w:szCs w:val="20"/>
          <w:shd w:val="clear" w:color="auto" w:fill="FFFFFF" w:themeFill="background1"/>
          <w:lang w:val="en-US"/>
        </w:rPr>
        <w:t>” [spare parts] in the applicable price list.</w:t>
      </w:r>
      <w:r w:rsidRPr="003E530D">
        <w:rPr>
          <w:sz w:val="20"/>
          <w:szCs w:val="20"/>
          <w:lang w:val="en-US"/>
        </w:rPr>
        <w:t xml:space="preserve"> The RENFERT order confirmation will indicate whether a flat direct delivery fee will be charged. </w:t>
      </w:r>
    </w:p>
    <w:p w14:paraId="6089D304" w14:textId="77777777" w:rsidR="009C4F90" w:rsidRPr="003E530D" w:rsidRDefault="009C4F90" w:rsidP="00C246FF">
      <w:pPr>
        <w:ind w:left="181" w:right="171"/>
        <w:rPr>
          <w:sz w:val="20"/>
          <w:szCs w:val="20"/>
          <w:lang w:val="en-US"/>
        </w:rPr>
      </w:pPr>
    </w:p>
    <w:p w14:paraId="22711AE5" w14:textId="39548ADE" w:rsidR="00D53B94" w:rsidRPr="003E530D" w:rsidRDefault="003B0EAF" w:rsidP="00C246FF">
      <w:pPr>
        <w:pStyle w:val="FormatvorlageFettSchwarzBlockLinks05cm"/>
        <w:keepNext/>
        <w:keepLines w:val="0"/>
        <w:ind w:left="181" w:right="171"/>
        <w:jc w:val="left"/>
        <w:rPr>
          <w:rFonts w:cs="Arial"/>
          <w:b w:val="0"/>
          <w:color w:val="auto"/>
          <w:lang w:val="en-US"/>
        </w:rPr>
      </w:pPr>
      <w:r w:rsidRPr="003E530D">
        <w:rPr>
          <w:rFonts w:cs="Arial"/>
          <w:b w:val="0"/>
          <w:color w:val="auto"/>
          <w:lang w:val="en-US"/>
        </w:rPr>
        <w:t xml:space="preserve">(c) </w:t>
      </w:r>
      <w:r w:rsidRPr="003E530D">
        <w:rPr>
          <w:b w:val="0"/>
          <w:color w:val="auto"/>
          <w:lang w:val="en-US"/>
        </w:rPr>
        <w:t xml:space="preserve"> </w:t>
      </w:r>
      <w:r w:rsidRPr="003E530D">
        <w:rPr>
          <w:rFonts w:cs="Arial"/>
          <w:b w:val="0"/>
          <w:color w:val="auto"/>
          <w:lang w:val="en-US"/>
        </w:rPr>
        <w:t>Goods returned by customers require RENFERT's prior consent unless the customer is entitled to a warranty right.</w:t>
      </w:r>
      <w:r w:rsidRPr="003E530D">
        <w:rPr>
          <w:rFonts w:cs="Arial"/>
          <w:color w:val="auto"/>
          <w:lang w:val="en-US"/>
        </w:rPr>
        <w:t xml:space="preserve"> </w:t>
      </w:r>
      <w:r w:rsidRPr="003E530D">
        <w:rPr>
          <w:rFonts w:cs="Arial"/>
          <w:b w:val="0"/>
          <w:color w:val="auto"/>
          <w:lang w:val="en-US"/>
        </w:rPr>
        <w:t>In such cases RENFERFT will charge a handling fee of at least 20% of the value of the goods for accepting return and inspecting the goods, with a minimum charge of €20.00.</w:t>
      </w:r>
    </w:p>
    <w:p w14:paraId="68217FE2" w14:textId="3FDB51DE" w:rsidR="00D53B94" w:rsidRPr="003E530D" w:rsidRDefault="00D53B94" w:rsidP="00C246FF">
      <w:pPr>
        <w:ind w:left="181" w:right="171"/>
        <w:rPr>
          <w:b/>
          <w:bCs w:val="0"/>
          <w:sz w:val="20"/>
          <w:szCs w:val="20"/>
          <w:lang w:val="en-US"/>
        </w:rPr>
      </w:pPr>
      <w:r w:rsidRPr="003E530D">
        <w:rPr>
          <w:b/>
          <w:bCs w:val="0"/>
          <w:sz w:val="20"/>
          <w:szCs w:val="20"/>
          <w:lang w:val="en-US"/>
        </w:rPr>
        <w:t>Medical devices, discontinued products, and products with a specific expiry date are excluded from returns.</w:t>
      </w:r>
    </w:p>
    <w:p w14:paraId="6833DFE2" w14:textId="5BE092AE" w:rsidR="00D53B94" w:rsidRPr="003E530D" w:rsidRDefault="00D53B94" w:rsidP="00C246FF">
      <w:pPr>
        <w:ind w:left="181" w:right="171"/>
        <w:rPr>
          <w:sz w:val="20"/>
          <w:szCs w:val="20"/>
          <w:lang w:val="en-US"/>
        </w:rPr>
      </w:pPr>
      <w:r w:rsidRPr="003E530D">
        <w:rPr>
          <w:sz w:val="20"/>
          <w:szCs w:val="20"/>
          <w:lang w:val="en-US"/>
        </w:rPr>
        <w:t>Goods that are not included in the price list or that have been manufactured, modified, or procured on the instructions of the customer can only be returned in the case of a legitimate complaint.</w:t>
      </w:r>
    </w:p>
    <w:p w14:paraId="2920D8B0" w14:textId="77777777" w:rsidR="00D53B94" w:rsidRPr="003E530D" w:rsidRDefault="00D53B94" w:rsidP="00C246FF">
      <w:pPr>
        <w:ind w:left="181" w:right="171"/>
        <w:rPr>
          <w:sz w:val="20"/>
          <w:lang w:val="en-US"/>
        </w:rPr>
      </w:pPr>
    </w:p>
    <w:p w14:paraId="6C25ADE1" w14:textId="651E5780" w:rsidR="00C776DD" w:rsidRPr="003E530D" w:rsidRDefault="00085775" w:rsidP="00C246FF">
      <w:pPr>
        <w:ind w:left="181" w:right="171"/>
        <w:rPr>
          <w:sz w:val="20"/>
          <w:szCs w:val="20"/>
          <w:lang w:val="en-US"/>
        </w:rPr>
      </w:pPr>
      <w:r w:rsidRPr="003E530D">
        <w:rPr>
          <w:b/>
          <w:bCs w:val="0"/>
          <w:sz w:val="20"/>
          <w:szCs w:val="20"/>
          <w:lang w:val="en-US"/>
        </w:rPr>
        <w:t>(d)</w:t>
      </w:r>
      <w:r w:rsidRPr="003E530D">
        <w:rPr>
          <w:b/>
          <w:lang w:val="en-US"/>
        </w:rPr>
        <w:t xml:space="preserve"> </w:t>
      </w:r>
      <w:r w:rsidRPr="003E530D">
        <w:rPr>
          <w:sz w:val="20"/>
          <w:szCs w:val="20"/>
          <w:lang w:val="en-US"/>
        </w:rPr>
        <w:t>RENFERT reserves the right of refusal if a minimum order value of €2,500 is not reached.</w:t>
      </w:r>
    </w:p>
    <w:p w14:paraId="7C8C77B0" w14:textId="77777777" w:rsidR="00C776DD" w:rsidRPr="003E530D" w:rsidRDefault="00C776DD" w:rsidP="00C246FF">
      <w:pPr>
        <w:ind w:left="181" w:right="171"/>
        <w:rPr>
          <w:sz w:val="20"/>
          <w:szCs w:val="20"/>
          <w:lang w:val="en-US"/>
        </w:rPr>
      </w:pPr>
    </w:p>
    <w:p w14:paraId="729F904D" w14:textId="027A9230" w:rsidR="0051751A" w:rsidRPr="003E530D" w:rsidRDefault="0051751A" w:rsidP="00C246FF">
      <w:pPr>
        <w:ind w:left="181" w:right="171"/>
        <w:rPr>
          <w:bCs w:val="0"/>
          <w:sz w:val="20"/>
          <w:szCs w:val="20"/>
          <w:lang w:val="en-US"/>
        </w:rPr>
      </w:pPr>
      <w:r w:rsidRPr="003E530D">
        <w:rPr>
          <w:b/>
          <w:sz w:val="20"/>
          <w:szCs w:val="20"/>
          <w:lang w:val="en-US"/>
        </w:rPr>
        <w:t xml:space="preserve">(e) </w:t>
      </w:r>
      <w:r w:rsidRPr="003E530D">
        <w:rPr>
          <w:bCs w:val="0"/>
          <w:sz w:val="20"/>
          <w:szCs w:val="20"/>
          <w:lang w:val="en-US"/>
        </w:rPr>
        <w:t>RENFERT reserves the right to charge storage fees of €25.00 per package and for each commenced week if the consignment is not collected within 8 working days after dispatch of the shipping order when the customer has commissioned a shipping company.</w:t>
      </w:r>
    </w:p>
    <w:p w14:paraId="6E6FDC45" w14:textId="77777777" w:rsidR="009C731A" w:rsidRPr="003E530D" w:rsidRDefault="009C731A" w:rsidP="00C246FF">
      <w:pPr>
        <w:pStyle w:val="berschrift1"/>
        <w:ind w:left="543" w:right="171" w:hanging="362"/>
        <w:rPr>
          <w:rFonts w:ascii="Arial" w:hAnsi="Arial"/>
          <w:lang w:val="en-US"/>
        </w:rPr>
      </w:pPr>
    </w:p>
    <w:p w14:paraId="54623E79" w14:textId="0A947F78" w:rsidR="000060E5" w:rsidRPr="003E530D" w:rsidRDefault="006A7325" w:rsidP="00C246FF">
      <w:pPr>
        <w:pStyle w:val="berschrift1"/>
        <w:ind w:left="543" w:right="171" w:hanging="362"/>
        <w:rPr>
          <w:rFonts w:ascii="Arial" w:hAnsi="Arial"/>
          <w:lang w:val="en-US"/>
        </w:rPr>
      </w:pPr>
      <w:r w:rsidRPr="003E530D">
        <w:rPr>
          <w:rFonts w:ascii="Arial" w:hAnsi="Arial"/>
          <w:lang w:val="en-US"/>
        </w:rPr>
        <w:t>4)</w:t>
      </w:r>
      <w:r w:rsidRPr="003E530D">
        <w:rPr>
          <w:rFonts w:ascii="Arial" w:hAnsi="Arial"/>
          <w:lang w:val="en-US"/>
        </w:rPr>
        <w:tab/>
        <w:t>Delivery/delivery time</w:t>
      </w:r>
    </w:p>
    <w:p w14:paraId="58038817" w14:textId="037121A3" w:rsidR="00BD6D58" w:rsidRPr="003E530D" w:rsidRDefault="00805ED9" w:rsidP="00C246FF">
      <w:pPr>
        <w:pStyle w:val="FormatvorlageBlockLinks05cm"/>
        <w:ind w:left="181" w:right="171"/>
        <w:jc w:val="left"/>
        <w:rPr>
          <w:rFonts w:cs="Arial"/>
          <w:lang w:val="en-US"/>
        </w:rPr>
      </w:pPr>
      <w:r w:rsidRPr="003E530D">
        <w:rPr>
          <w:rFonts w:cs="Arial"/>
          <w:lang w:val="en-US"/>
        </w:rPr>
        <w:t xml:space="preserve">RENFERT is entitled to make customary partial deliveries and partial performances of services, unless the partial delivery or performance of service is unreasonable for the customer or contractually excluded. The customer shall bear the shipping costs, unless RENFERT has expressly agreed in writing to bear the shipping costs in advance. </w:t>
      </w:r>
    </w:p>
    <w:p w14:paraId="1A88B5EC" w14:textId="77777777" w:rsidR="00BD6D58" w:rsidRPr="003E530D" w:rsidRDefault="00BD6D58" w:rsidP="00C246FF">
      <w:pPr>
        <w:pStyle w:val="FormatvorlageBlockLinks05cm"/>
        <w:ind w:left="181" w:right="171"/>
        <w:jc w:val="left"/>
        <w:rPr>
          <w:rFonts w:cs="Arial"/>
          <w:lang w:val="en-US"/>
        </w:rPr>
      </w:pPr>
    </w:p>
    <w:p w14:paraId="09B7D0DD" w14:textId="7B6D69FE" w:rsidR="00BD6D58" w:rsidRPr="003E530D" w:rsidRDefault="00BD6D58" w:rsidP="00C246FF">
      <w:pPr>
        <w:pStyle w:val="FormatvorlageBlockLinks05cm"/>
        <w:ind w:left="181" w:right="171"/>
        <w:jc w:val="left"/>
        <w:rPr>
          <w:rFonts w:cs="Arial"/>
          <w:strike/>
          <w:lang w:val="en-US"/>
        </w:rPr>
      </w:pPr>
      <w:r w:rsidRPr="003E530D">
        <w:rPr>
          <w:rFonts w:cs="Arial"/>
          <w:lang w:val="en-US"/>
        </w:rPr>
        <w:t xml:space="preserve">The place of performance for all deliveries shall be the RENFERT plant in </w:t>
      </w:r>
      <w:proofErr w:type="spellStart"/>
      <w:r w:rsidRPr="003E530D">
        <w:rPr>
          <w:rFonts w:cs="Arial"/>
          <w:lang w:val="en-US"/>
        </w:rPr>
        <w:t>Hilzingen</w:t>
      </w:r>
      <w:proofErr w:type="spellEnd"/>
      <w:r w:rsidRPr="003E530D">
        <w:rPr>
          <w:rFonts w:cs="Arial"/>
          <w:lang w:val="en-US"/>
        </w:rPr>
        <w:t>. The risk of accidental loss of goods shall pass to the customer upon transfer to the carrier/shipping company. RENFERT shall not assume the costs of transport insurance under any circumstances. Deliveries are made to the curb outside the delivery address, unless another delivery condition has been expressly agreed in advance and in writing by both parties.</w:t>
      </w:r>
    </w:p>
    <w:p w14:paraId="6BD4759D" w14:textId="77777777" w:rsidR="00BD6D58" w:rsidRPr="003E530D" w:rsidRDefault="00BD6D58" w:rsidP="00C246FF">
      <w:pPr>
        <w:pStyle w:val="FormatvorlageBlockLinks05cm"/>
        <w:ind w:left="181" w:right="171"/>
        <w:jc w:val="left"/>
        <w:rPr>
          <w:rFonts w:cs="Arial"/>
          <w:lang w:val="en-US"/>
        </w:rPr>
      </w:pPr>
    </w:p>
    <w:p w14:paraId="50B1053D" w14:textId="26242436" w:rsidR="000060E5" w:rsidRPr="003E530D" w:rsidRDefault="000060E5" w:rsidP="00C246FF">
      <w:pPr>
        <w:pStyle w:val="FormatvorlageBlockLinks05cm"/>
        <w:ind w:left="181" w:right="171"/>
        <w:jc w:val="left"/>
        <w:rPr>
          <w:rFonts w:cs="Arial"/>
          <w:lang w:val="en-US"/>
        </w:rPr>
      </w:pPr>
      <w:r w:rsidRPr="003E530D">
        <w:rPr>
          <w:rFonts w:cs="Arial"/>
          <w:lang w:val="en-US"/>
        </w:rPr>
        <w:lastRenderedPageBreak/>
        <w:t xml:space="preserve">Delivery times and deadlines shall be extended correspondingly </w:t>
      </w:r>
      <w:proofErr w:type="gramStart"/>
      <w:r w:rsidRPr="003E530D">
        <w:rPr>
          <w:rFonts w:cs="Arial"/>
          <w:lang w:val="en-US"/>
        </w:rPr>
        <w:t>as a result of</w:t>
      </w:r>
      <w:proofErr w:type="gramEnd"/>
      <w:r w:rsidRPr="003E530D">
        <w:rPr>
          <w:rFonts w:cs="Arial"/>
          <w:lang w:val="en-US"/>
        </w:rPr>
        <w:t xml:space="preserve"> any delays for which the customer is responsible, e.g. delays in prepayment, granting approval, or submitting documents. The customer has no right to claim for damages because of such a delay.</w:t>
      </w:r>
    </w:p>
    <w:p w14:paraId="3222E315" w14:textId="77777777" w:rsidR="009A0291" w:rsidRPr="003E530D" w:rsidRDefault="009A0291" w:rsidP="00C246FF">
      <w:pPr>
        <w:pStyle w:val="FormatvorlageBlockLinks05cm"/>
        <w:ind w:left="181" w:right="171"/>
        <w:jc w:val="left"/>
        <w:rPr>
          <w:rFonts w:cs="Arial"/>
          <w:lang w:val="en-US"/>
        </w:rPr>
      </w:pPr>
    </w:p>
    <w:p w14:paraId="7F6E6202" w14:textId="679008EE" w:rsidR="000060E5" w:rsidRPr="003E530D" w:rsidRDefault="00821BF4" w:rsidP="00C246FF">
      <w:pPr>
        <w:pStyle w:val="FormatvorlageBlockLinks05cm"/>
        <w:ind w:left="181" w:right="171"/>
        <w:jc w:val="left"/>
        <w:rPr>
          <w:rFonts w:cs="Arial"/>
          <w:lang w:val="en-US"/>
        </w:rPr>
      </w:pPr>
      <w:r w:rsidRPr="003E530D">
        <w:rPr>
          <w:rFonts w:cs="Arial"/>
          <w:lang w:val="en-US"/>
        </w:rPr>
        <w:t>In the event of delays in delivery and performance due to force majeure, irrespective of whether these occur at RENFERT or at its suppliers or subcontractors, e.g. war, natural disasters, operational disruptions, lawful strikes, lockouts, or official orders, the delivery dates/deadlines shall be extended by the duration of the hindrance and a reasonable start-up period. The customer has no right to claim for damages because of such a delay. RENFERT will inform the customer if such circumstances arise.</w:t>
      </w:r>
    </w:p>
    <w:p w14:paraId="48B2EE92" w14:textId="77777777" w:rsidR="000060E5" w:rsidRPr="003E530D" w:rsidRDefault="000060E5" w:rsidP="00C246FF">
      <w:pPr>
        <w:ind w:left="181" w:right="171" w:hanging="283"/>
        <w:rPr>
          <w:lang w:val="en-US"/>
        </w:rPr>
      </w:pPr>
    </w:p>
    <w:p w14:paraId="606CA475" w14:textId="14568E46" w:rsidR="000060E5" w:rsidRPr="003E530D" w:rsidRDefault="006A7325" w:rsidP="00C246FF">
      <w:pPr>
        <w:pStyle w:val="berschrift1"/>
        <w:ind w:left="543" w:right="171" w:hanging="362"/>
        <w:rPr>
          <w:rFonts w:ascii="Arial" w:hAnsi="Arial"/>
          <w:lang w:val="en-US"/>
        </w:rPr>
      </w:pPr>
      <w:r w:rsidRPr="003E530D">
        <w:rPr>
          <w:rFonts w:ascii="Arial" w:hAnsi="Arial"/>
          <w:lang w:val="en-US"/>
        </w:rPr>
        <w:t>5)</w:t>
      </w:r>
      <w:r w:rsidRPr="003E530D">
        <w:rPr>
          <w:rFonts w:ascii="Arial" w:hAnsi="Arial"/>
          <w:lang w:val="en-US"/>
        </w:rPr>
        <w:tab/>
      </w:r>
      <w:bookmarkStart w:id="0" w:name="_Hlk114571507"/>
      <w:r w:rsidRPr="003E530D">
        <w:rPr>
          <w:rFonts w:ascii="Arial" w:hAnsi="Arial"/>
          <w:lang w:val="en-US"/>
        </w:rPr>
        <w:t>Guarantee/Liability</w:t>
      </w:r>
      <w:bookmarkEnd w:id="0"/>
    </w:p>
    <w:p w14:paraId="42EE0CD2" w14:textId="7E649F6D" w:rsidR="00DA0C7F" w:rsidRPr="003E530D" w:rsidRDefault="000060E5" w:rsidP="00C246FF">
      <w:pPr>
        <w:pStyle w:val="FormatvorlageBlockLinks05cm"/>
        <w:ind w:left="181" w:right="171"/>
        <w:jc w:val="left"/>
        <w:rPr>
          <w:rFonts w:cs="Arial"/>
          <w:lang w:val="en-US"/>
        </w:rPr>
      </w:pPr>
      <w:r w:rsidRPr="003E530D">
        <w:rPr>
          <w:rFonts w:cs="Arial"/>
          <w:b/>
          <w:lang w:val="en-US"/>
        </w:rPr>
        <w:t xml:space="preserve">(a) </w:t>
      </w:r>
      <w:r w:rsidRPr="003E530D">
        <w:rPr>
          <w:rFonts w:cs="Arial"/>
          <w:lang w:val="en-US"/>
        </w:rPr>
        <w:t xml:space="preserve">Complaints should be made immediately in writing and in accordance with the requirements in § 377 of the HGB (German Commercial Code), no later than 7 days after delivery. Infringement of this obligation disqualifies any warranty claims against RENFERT. In the case of justified, duly notified defects, RENFERT shall only be obliged, at its discretion, to rectify the problem or deliver a replacement product. The place of subsequent rectification shall be the place of performance pursuant to §4 of the General Terms and Conditions. It shall be deemed to have failed no sooner than after three unsuccessful attempts. </w:t>
      </w:r>
    </w:p>
    <w:p w14:paraId="416EB8D8" w14:textId="6D2DD2E4" w:rsidR="000060E5" w:rsidRPr="003E530D" w:rsidRDefault="000060E5" w:rsidP="00C246FF">
      <w:pPr>
        <w:pStyle w:val="FormatvorlageBlockLinks05cm"/>
        <w:ind w:left="181" w:right="171"/>
        <w:jc w:val="left"/>
        <w:rPr>
          <w:rFonts w:cs="Arial"/>
          <w:lang w:val="en-US"/>
        </w:rPr>
      </w:pPr>
      <w:r w:rsidRPr="003E530D">
        <w:rPr>
          <w:rFonts w:cs="Arial"/>
          <w:lang w:val="en-US"/>
        </w:rPr>
        <w:t>In the case of a complaint, the customer is still under obligation to make payment. RENFERT does not accept any liability for the improper use of RENFERT products.</w:t>
      </w:r>
    </w:p>
    <w:p w14:paraId="4FB6072A" w14:textId="77777777" w:rsidR="000060E5" w:rsidRPr="003E530D" w:rsidRDefault="000060E5" w:rsidP="00C246FF">
      <w:pPr>
        <w:pStyle w:val="FormatvorlageBlockLinks05cm"/>
        <w:ind w:left="181" w:right="171"/>
        <w:jc w:val="left"/>
        <w:rPr>
          <w:rFonts w:cs="Arial"/>
          <w:lang w:val="en-US"/>
        </w:rPr>
      </w:pPr>
    </w:p>
    <w:p w14:paraId="153DC827" w14:textId="36124B9A" w:rsidR="002C0B0E" w:rsidRPr="003E530D" w:rsidRDefault="00845D1B" w:rsidP="00C246FF">
      <w:pPr>
        <w:pStyle w:val="FormatvorlageBlockLinks05cm"/>
        <w:ind w:left="181" w:right="171"/>
        <w:jc w:val="left"/>
        <w:rPr>
          <w:rFonts w:cs="Arial"/>
          <w:lang w:val="en-US"/>
        </w:rPr>
      </w:pPr>
      <w:r w:rsidRPr="003E530D">
        <w:rPr>
          <w:rFonts w:cs="Arial"/>
          <w:b/>
          <w:lang w:val="en-US"/>
        </w:rPr>
        <w:t>(b)</w:t>
      </w:r>
      <w:r w:rsidRPr="003E530D">
        <w:rPr>
          <w:rFonts w:cs="Arial"/>
          <w:lang w:val="en-US"/>
        </w:rPr>
        <w:t xml:space="preserve"> Selling-on is strictly prohibited in countries in which specific legal regulations relating to products, </w:t>
      </w:r>
      <w:proofErr w:type="gramStart"/>
      <w:r w:rsidRPr="003E530D">
        <w:rPr>
          <w:rFonts w:cs="Arial"/>
          <w:lang w:val="en-US"/>
        </w:rPr>
        <w:t>in particular to</w:t>
      </w:r>
      <w:proofErr w:type="gramEnd"/>
      <w:r w:rsidRPr="003E530D">
        <w:rPr>
          <w:rFonts w:cs="Arial"/>
          <w:lang w:val="en-US"/>
        </w:rPr>
        <w:t xml:space="preserve"> the actual product, its packaging and labeling, prohibit the products manufactured by RENFERT from being introduced in the same form as they are manufactured and marketed in the European Union by RENFERT. </w:t>
      </w:r>
    </w:p>
    <w:p w14:paraId="7E34373D" w14:textId="77777777" w:rsidR="002C0B0E" w:rsidRPr="003E530D" w:rsidRDefault="002C0B0E" w:rsidP="00C246FF">
      <w:pPr>
        <w:pStyle w:val="FormatvorlageBlockLinks05cm"/>
        <w:ind w:left="181" w:right="171"/>
        <w:jc w:val="left"/>
        <w:rPr>
          <w:rFonts w:cs="Arial"/>
          <w:lang w:val="en-US"/>
        </w:rPr>
      </w:pPr>
    </w:p>
    <w:p w14:paraId="34380C68" w14:textId="3BDD37EB" w:rsidR="000060E5" w:rsidRPr="003E530D" w:rsidRDefault="000060E5" w:rsidP="00C246FF">
      <w:pPr>
        <w:pStyle w:val="FormatvorlageBlockLinks05cm"/>
        <w:ind w:left="181" w:right="171"/>
        <w:jc w:val="left"/>
        <w:rPr>
          <w:rFonts w:cs="Arial"/>
          <w:lang w:val="en-US"/>
        </w:rPr>
      </w:pPr>
      <w:r w:rsidRPr="003E530D">
        <w:rPr>
          <w:rFonts w:cs="Arial"/>
          <w:lang w:val="en-US"/>
        </w:rPr>
        <w:t xml:space="preserve">Any </w:t>
      </w:r>
      <w:proofErr w:type="gramStart"/>
      <w:r w:rsidRPr="003E530D">
        <w:rPr>
          <w:rFonts w:cs="Arial"/>
          <w:lang w:val="en-US"/>
        </w:rPr>
        <w:t>particular non-</w:t>
      </w:r>
      <w:proofErr w:type="gramEnd"/>
      <w:r w:rsidRPr="003E530D">
        <w:rPr>
          <w:rFonts w:cs="Arial"/>
          <w:lang w:val="en-US"/>
        </w:rPr>
        <w:t xml:space="preserve">product-related sales regulations (advertising regulations, prescription requirement etc.) </w:t>
      </w:r>
      <w:r w:rsidRPr="003E530D">
        <w:rPr>
          <w:rFonts w:cs="Arial"/>
          <w:bCs/>
          <w:lang w:val="en-US"/>
        </w:rPr>
        <w:t xml:space="preserve">or differing technical requirements or mandatory regulations in the other countries outside the European Union should be </w:t>
      </w:r>
      <w:r w:rsidRPr="003E530D">
        <w:rPr>
          <w:rFonts w:cs="Arial"/>
          <w:lang w:val="en-US"/>
        </w:rPr>
        <w:t>observed</w:t>
      </w:r>
      <w:r w:rsidRPr="003E530D">
        <w:rPr>
          <w:rFonts w:cs="Arial"/>
          <w:bCs/>
          <w:lang w:val="en-US"/>
        </w:rPr>
        <w:t xml:space="preserve"> by the customer. </w:t>
      </w:r>
      <w:r w:rsidRPr="003E530D">
        <w:rPr>
          <w:rFonts w:cs="Arial"/>
          <w:lang w:val="en-US"/>
        </w:rPr>
        <w:t>If the customer is culpable of disregarding these requirements, the customer indemnifies RENFERT internally arrangements from any claims by a third party that arise from the disregard of legal requirements relating to products and sales in other countries.</w:t>
      </w:r>
    </w:p>
    <w:p w14:paraId="6540C553" w14:textId="77777777" w:rsidR="000060E5" w:rsidRPr="003E530D" w:rsidRDefault="000060E5" w:rsidP="00C246FF">
      <w:pPr>
        <w:pStyle w:val="FormatvorlageBlockLinks05cm"/>
        <w:ind w:left="181" w:right="171"/>
        <w:jc w:val="left"/>
        <w:rPr>
          <w:rFonts w:cs="Arial"/>
          <w:lang w:val="en-US"/>
        </w:rPr>
      </w:pPr>
    </w:p>
    <w:p w14:paraId="00DEEF4D" w14:textId="40256E68" w:rsidR="000060E5" w:rsidRPr="003E530D" w:rsidRDefault="000060E5" w:rsidP="00C246FF">
      <w:pPr>
        <w:pStyle w:val="FormatvorlageBlockLinks05cm"/>
        <w:ind w:left="181" w:right="171"/>
        <w:jc w:val="left"/>
        <w:rPr>
          <w:rFonts w:cs="Arial"/>
          <w:lang w:val="en-US"/>
        </w:rPr>
      </w:pPr>
      <w:r w:rsidRPr="003E530D">
        <w:rPr>
          <w:rFonts w:cs="Arial"/>
          <w:lang w:val="en-US"/>
        </w:rPr>
        <w:t>The customer is obligated to inform RENFERT immediately of any physical injuries or material damage and of any incidents which could potentially have led to physical injuries or material damage, and to send the defective product to RENFERT as quickly as possible. In countries outside the European Union, the customer shall inform RENFERT immediately of any problems relating to the import or use of RENFERT's products because of directives, laws or standards. If such information is not provided, RENFERT shall not accept liability for any ensuing damages.</w:t>
      </w:r>
    </w:p>
    <w:p w14:paraId="038F10E7" w14:textId="77777777" w:rsidR="00A227AF" w:rsidRPr="003E530D" w:rsidRDefault="00A227AF" w:rsidP="00C246FF">
      <w:pPr>
        <w:pStyle w:val="FormatvorlageBlockLinks05cm"/>
        <w:ind w:left="181" w:right="171"/>
        <w:jc w:val="left"/>
        <w:rPr>
          <w:rFonts w:cs="Arial"/>
          <w:lang w:val="en-US"/>
        </w:rPr>
      </w:pPr>
    </w:p>
    <w:p w14:paraId="22881CAD" w14:textId="75005756" w:rsidR="000060E5" w:rsidRPr="003E530D" w:rsidRDefault="000060E5" w:rsidP="00C246FF">
      <w:pPr>
        <w:pStyle w:val="FormatvorlageBlockLinks05cm"/>
        <w:ind w:left="181" w:right="171"/>
        <w:jc w:val="left"/>
        <w:rPr>
          <w:rFonts w:cs="Arial"/>
          <w:strike/>
          <w:lang w:val="en-US"/>
        </w:rPr>
      </w:pPr>
      <w:r w:rsidRPr="003E530D">
        <w:rPr>
          <w:rFonts w:cs="Arial"/>
          <w:lang w:val="en-US"/>
        </w:rPr>
        <w:t xml:space="preserve">(c) RENFERT shall be liable for intent and gross negligence, including that of its vicarious agents, in accordance with the statutory provisions. The same applies in the case of negligently caused damage resulting from injury to life, limb or health. In the event of damage to property and financial loss caused by negligence, RENFERT and its vicarious agents shall only be liable in the event of a breach of an essential contractual obligation, i.e. such contractual obligations the performance of which </w:t>
      </w:r>
      <w:proofErr w:type="spellStart"/>
      <w:r w:rsidRPr="003E530D">
        <w:rPr>
          <w:rFonts w:cs="Arial"/>
          <w:lang w:val="en-US"/>
        </w:rPr>
        <w:t>characterises</w:t>
      </w:r>
      <w:proofErr w:type="spellEnd"/>
      <w:r w:rsidRPr="003E530D">
        <w:rPr>
          <w:rFonts w:cs="Arial"/>
          <w:lang w:val="en-US"/>
        </w:rPr>
        <w:t xml:space="preserve"> the contract and on which the customer may rely, but limited in amount to the damage foreseeable at the time of conclusion of the contract and typical for the contract. The liability for indirect or unforeseeable losses, </w:t>
      </w:r>
      <w:proofErr w:type="gramStart"/>
      <w:r w:rsidRPr="003E530D">
        <w:rPr>
          <w:rFonts w:cs="Arial"/>
          <w:lang w:val="en-US"/>
        </w:rPr>
        <w:t>in particular for</w:t>
      </w:r>
      <w:proofErr w:type="gramEnd"/>
      <w:r w:rsidRPr="003E530D">
        <w:rPr>
          <w:rFonts w:cs="Arial"/>
          <w:lang w:val="en-US"/>
        </w:rPr>
        <w:t xml:space="preserve"> loss of production and downtime, lost profit, non-materialized savings, and financial losses on account of third-party claims, shall be excluded in the event of ordinary negligence, apart from in the event of loss of life, physical injury, or harm to health. Any liability extending beyond what is listed in these General Terms and Conditions is excluded, regardless of the legal nature of the claim which is lodged. However, the above liability limitations or exclusions do not apply to liability without </w:t>
      </w:r>
      <w:proofErr w:type="gramStart"/>
      <w:r w:rsidRPr="003E530D">
        <w:rPr>
          <w:rFonts w:cs="Arial"/>
          <w:lang w:val="en-US"/>
        </w:rPr>
        <w:t>fault</w:t>
      </w:r>
      <w:proofErr w:type="gramEnd"/>
      <w:r w:rsidRPr="003E530D">
        <w:rPr>
          <w:rFonts w:cs="Arial"/>
          <w:lang w:val="en-US"/>
        </w:rPr>
        <w:t xml:space="preserve"> which is mandatorily prescribed by law, for example under the German Product Liability Act, or liability arising from a corresponding warranty and if the defect was fraudulently concealed. The abovementioned liability exclusion or limitation also applies to the personal liability of RENFERT staff, employees, representatives, bodies and subcontractors. </w:t>
      </w:r>
    </w:p>
    <w:p w14:paraId="5AC0E502" w14:textId="77777777" w:rsidR="00BA3BAE" w:rsidRPr="003E530D" w:rsidRDefault="00BA3BAE" w:rsidP="00C246FF">
      <w:pPr>
        <w:pStyle w:val="FormatvorlageBlockLinks05cm"/>
        <w:ind w:left="181" w:right="171"/>
        <w:jc w:val="left"/>
        <w:rPr>
          <w:rFonts w:cs="Arial"/>
          <w:lang w:val="en-US"/>
        </w:rPr>
      </w:pPr>
    </w:p>
    <w:p w14:paraId="351E5535" w14:textId="1DB756F2" w:rsidR="00BA3BAE" w:rsidRPr="003E530D" w:rsidRDefault="00BA3BAE" w:rsidP="00C246FF">
      <w:pPr>
        <w:pStyle w:val="FormatvorlageBlockLinks05cm"/>
        <w:ind w:left="181" w:right="171"/>
        <w:jc w:val="left"/>
        <w:rPr>
          <w:rFonts w:cs="Arial"/>
          <w:lang w:val="en-US"/>
        </w:rPr>
      </w:pPr>
      <w:r w:rsidRPr="003E530D">
        <w:rPr>
          <w:rFonts w:cs="Arial"/>
          <w:lang w:val="en-US"/>
        </w:rPr>
        <w:t xml:space="preserve">(d) In respect of the downloads offered on the website, RENFERT shall bear liability for willful intent and gross negligence. For ordinary negligence, RENFERT shall only be liable, apart from in the event of loss of life, physical injury, or harm to health, to the extent that cardinal obligations, </w:t>
      </w:r>
      <w:proofErr w:type="spellStart"/>
      <w:r w:rsidRPr="003E530D">
        <w:rPr>
          <w:rFonts w:cs="Arial"/>
          <w:lang w:val="en-US"/>
        </w:rPr>
        <w:t>i.e</w:t>
      </w:r>
      <w:proofErr w:type="spellEnd"/>
      <w:r w:rsidRPr="003E530D">
        <w:rPr>
          <w:rFonts w:cs="Arial"/>
          <w:lang w:val="en-US"/>
        </w:rPr>
        <w:t xml:space="preserve"> essential contractual obligations, are breached. The liability shall be limited to the foreseeable level of damage that is typical of the </w:t>
      </w:r>
      <w:r w:rsidR="00A50E94" w:rsidRPr="003E530D">
        <w:rPr>
          <w:rFonts w:cs="Arial"/>
          <w:lang w:val="en-US"/>
        </w:rPr>
        <w:t>contract but</w:t>
      </w:r>
      <w:r w:rsidRPr="003E530D">
        <w:rPr>
          <w:rFonts w:cs="Arial"/>
          <w:lang w:val="en-US"/>
        </w:rPr>
        <w:t xml:space="preserve"> shall not exceed an amount of </w:t>
      </w:r>
      <w:r w:rsidRPr="003E530D">
        <w:rPr>
          <w:rFonts w:cs="Arial"/>
          <w:b/>
          <w:lang w:val="en-US"/>
        </w:rPr>
        <w:t>€5,000</w:t>
      </w:r>
      <w:r w:rsidRPr="003E530D">
        <w:rPr>
          <w:rFonts w:cs="Arial"/>
          <w:lang w:val="en-US"/>
        </w:rPr>
        <w:t xml:space="preserve">. The liability for indirect or unforeseeable losses, </w:t>
      </w:r>
      <w:proofErr w:type="gramStart"/>
      <w:r w:rsidRPr="003E530D">
        <w:rPr>
          <w:rFonts w:cs="Arial"/>
          <w:lang w:val="en-US"/>
        </w:rPr>
        <w:t>in particular for</w:t>
      </w:r>
      <w:proofErr w:type="gramEnd"/>
      <w:r w:rsidRPr="003E530D">
        <w:rPr>
          <w:rFonts w:cs="Arial"/>
          <w:lang w:val="en-US"/>
        </w:rPr>
        <w:t xml:space="preserve"> loss of production and </w:t>
      </w:r>
      <w:r w:rsidRPr="003E530D">
        <w:rPr>
          <w:rFonts w:cs="Arial"/>
          <w:lang w:val="en-US"/>
        </w:rPr>
        <w:lastRenderedPageBreak/>
        <w:t xml:space="preserve">downtime, lost profit, non-materialized savings, and financial losses on account of third-party claims, shall be excluded in the event of ordinary negligence, apart from in the event of loss of life, physical injury, or harm to health. Any liability extending beyond what is listed in these General Terms and Conditions is excluded, regardless of the legal nature of the claim which is lodged. However, the above liability limitations or exclusions do not apply to liability without </w:t>
      </w:r>
      <w:proofErr w:type="gramStart"/>
      <w:r w:rsidRPr="003E530D">
        <w:rPr>
          <w:rFonts w:cs="Arial"/>
          <w:lang w:val="en-US"/>
        </w:rPr>
        <w:t>fault</w:t>
      </w:r>
      <w:proofErr w:type="gramEnd"/>
      <w:r w:rsidRPr="003E530D">
        <w:rPr>
          <w:rFonts w:cs="Arial"/>
          <w:lang w:val="en-US"/>
        </w:rPr>
        <w:t xml:space="preserve"> which is mandatorily prescribed by law, for example under the German Product Liability Act, or liability arising from a corresponding warranty. The abovementioned liability exclusion or limitation also applies to the personal liability of RENFERT's staff, employees, representatives, bodies and subcontractors.</w:t>
      </w:r>
    </w:p>
    <w:p w14:paraId="67B79B62" w14:textId="77777777" w:rsidR="000060E5" w:rsidRPr="003E530D" w:rsidRDefault="000060E5" w:rsidP="00C246FF">
      <w:pPr>
        <w:pStyle w:val="FormatvorlageBlockLinks05cm"/>
        <w:ind w:right="171"/>
        <w:jc w:val="left"/>
        <w:rPr>
          <w:rFonts w:cs="Arial"/>
          <w:lang w:val="en-US"/>
        </w:rPr>
      </w:pPr>
    </w:p>
    <w:p w14:paraId="61988388" w14:textId="6A955EE8" w:rsidR="003A3522" w:rsidRPr="003E530D" w:rsidRDefault="003A3522" w:rsidP="003A3522">
      <w:pPr>
        <w:pStyle w:val="berschrift1"/>
        <w:ind w:left="543" w:right="171" w:hanging="362"/>
        <w:rPr>
          <w:rFonts w:ascii="Arial" w:hAnsi="Arial"/>
          <w:lang w:val="en-US"/>
        </w:rPr>
      </w:pPr>
      <w:r w:rsidRPr="003E530D">
        <w:rPr>
          <w:rFonts w:ascii="Arial" w:hAnsi="Arial"/>
          <w:lang w:val="en-US"/>
        </w:rPr>
        <w:t>6)</w:t>
      </w:r>
      <w:r w:rsidRPr="003E530D">
        <w:rPr>
          <w:rFonts w:ascii="Arial" w:hAnsi="Arial"/>
          <w:lang w:val="en-US"/>
        </w:rPr>
        <w:tab/>
        <w:t>Manufacturer's Warranty</w:t>
      </w:r>
    </w:p>
    <w:p w14:paraId="47E847DE"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Vis-à-vis the END CUSTOMER ("CUSTOMER"), RENFERT assumes the following Manufacturer's Warranty ("Warranty") in accordance with the following terms and conditions. The warranty applies irrespective of the legal warranty rights of the CUSTOMER and mandatory legal liability provisions. The rights arising from this warranty supplement the statutory and/or contractual warranty claims to which the CUSTOMER is entitled against the respective DEALER.</w:t>
      </w:r>
    </w:p>
    <w:p w14:paraId="3519DDE0"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RENFERT fulfills the performances arising from this warranty itself.</w:t>
      </w:r>
    </w:p>
    <w:p w14:paraId="3C61A621"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This warranty is personal and non-transferrable.</w:t>
      </w:r>
    </w:p>
    <w:p w14:paraId="092F0BF8" w14:textId="77777777" w:rsidR="001F42E2" w:rsidRPr="003E530D" w:rsidRDefault="001F42E2" w:rsidP="001F42E2">
      <w:pPr>
        <w:spacing w:after="160" w:line="259" w:lineRule="auto"/>
        <w:ind w:left="181"/>
        <w:rPr>
          <w:rFonts w:eastAsia="Calibri"/>
          <w:b/>
          <w:sz w:val="20"/>
          <w:szCs w:val="20"/>
          <w:lang w:val="en-US" w:eastAsia="en-US"/>
        </w:rPr>
      </w:pPr>
      <w:r w:rsidRPr="003E530D">
        <w:rPr>
          <w:rFonts w:eastAsia="Calibri"/>
          <w:b/>
          <w:sz w:val="20"/>
          <w:szCs w:val="20"/>
          <w:lang w:val="en-US"/>
        </w:rPr>
        <w:t>(a) Content and scope of the warranty</w:t>
      </w:r>
    </w:p>
    <w:p w14:paraId="6CEAE39C" w14:textId="6C274ECD"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 xml:space="preserve">(aa) RENFERT grants CUSTOMER a 3-year warranty ensuring that its equipment is free of any material or manufacturing defects that might result in an equipment defect within the warranty period. </w:t>
      </w:r>
    </w:p>
    <w:p w14:paraId="0A2AD28F" w14:textId="77777777" w:rsidR="001F42E2" w:rsidRPr="003E530D" w:rsidRDefault="001F42E2" w:rsidP="001F42E2">
      <w:pPr>
        <w:spacing w:after="160" w:line="259" w:lineRule="auto"/>
        <w:ind w:left="181"/>
        <w:rPr>
          <w:rFonts w:eastAsia="Calibri"/>
          <w:bCs w:val="0"/>
          <w:sz w:val="20"/>
          <w:szCs w:val="20"/>
          <w:lang w:val="en-US" w:eastAsia="en-US"/>
        </w:rPr>
      </w:pPr>
      <w:bookmarkStart w:id="1" w:name="_Hlk177545339"/>
      <w:r w:rsidRPr="003E530D">
        <w:rPr>
          <w:rFonts w:eastAsia="Calibri"/>
          <w:bCs w:val="0"/>
          <w:sz w:val="20"/>
          <w:szCs w:val="20"/>
          <w:lang w:val="en-US"/>
        </w:rPr>
        <w:t>(bb) This 3-year warranty comes into effect on the date of purchase of the equipment.</w:t>
      </w:r>
    </w:p>
    <w:bookmarkEnd w:id="1"/>
    <w:p w14:paraId="27DC673B" w14:textId="12F09B4C"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 xml:space="preserve">(cc) RENFERT warrants that if a defect arises in the equipment purchased by the CUSTOMER during this period, as guarantor it will at its option either repair the goods, replace defective parts or fulfill the claim by providing replacement products. If parts are replaced or an exchange is made, CUSTOMER agrees to the unlimited transfer of its ownership of the parts or products sent </w:t>
      </w:r>
      <w:proofErr w:type="gramStart"/>
      <w:r w:rsidRPr="003E530D">
        <w:rPr>
          <w:rFonts w:eastAsia="Calibri"/>
          <w:bCs w:val="0"/>
          <w:sz w:val="20"/>
          <w:szCs w:val="20"/>
          <w:lang w:val="en-US"/>
        </w:rPr>
        <w:t>in to</w:t>
      </w:r>
      <w:proofErr w:type="gramEnd"/>
      <w:r w:rsidRPr="003E530D">
        <w:rPr>
          <w:rFonts w:eastAsia="Calibri"/>
          <w:bCs w:val="0"/>
          <w:sz w:val="20"/>
          <w:szCs w:val="20"/>
          <w:lang w:val="en-US"/>
        </w:rPr>
        <w:t xml:space="preserve"> RENFERT.</w:t>
      </w:r>
    </w:p>
    <w:p w14:paraId="4D710D83"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 xml:space="preserve">(dd) The warranty period commences on the day of purchase from the DEALER. </w:t>
      </w:r>
    </w:p>
    <w:p w14:paraId="05203495"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w:t>
      </w:r>
      <w:proofErr w:type="spellStart"/>
      <w:r w:rsidRPr="003E530D">
        <w:rPr>
          <w:rFonts w:eastAsia="Calibri"/>
          <w:bCs w:val="0"/>
          <w:sz w:val="20"/>
          <w:szCs w:val="20"/>
          <w:lang w:val="en-US"/>
        </w:rPr>
        <w:t>ee</w:t>
      </w:r>
      <w:proofErr w:type="spellEnd"/>
      <w:r w:rsidRPr="003E530D">
        <w:rPr>
          <w:rFonts w:eastAsia="Calibri"/>
          <w:bCs w:val="0"/>
          <w:sz w:val="20"/>
          <w:szCs w:val="20"/>
          <w:lang w:val="en-US"/>
        </w:rPr>
        <w:t xml:space="preserve">) The warranty will not be extended </w:t>
      </w:r>
      <w:proofErr w:type="gramStart"/>
      <w:r w:rsidRPr="003E530D">
        <w:rPr>
          <w:rFonts w:eastAsia="Calibri"/>
          <w:bCs w:val="0"/>
          <w:sz w:val="20"/>
          <w:szCs w:val="20"/>
          <w:lang w:val="en-US"/>
        </w:rPr>
        <w:t>as a result of</w:t>
      </w:r>
      <w:proofErr w:type="gramEnd"/>
      <w:r w:rsidRPr="003E530D">
        <w:rPr>
          <w:rFonts w:eastAsia="Calibri"/>
          <w:bCs w:val="0"/>
          <w:sz w:val="20"/>
          <w:szCs w:val="20"/>
          <w:lang w:val="en-US"/>
        </w:rPr>
        <w:t xml:space="preserve"> any warranty performances provided. The warranty period will also not begin again in such cases.</w:t>
      </w:r>
    </w:p>
    <w:p w14:paraId="3F8DF160" w14:textId="77777777" w:rsidR="001F42E2" w:rsidRPr="003E530D" w:rsidRDefault="001F42E2" w:rsidP="001F42E2">
      <w:pPr>
        <w:spacing w:after="160" w:line="259" w:lineRule="auto"/>
        <w:ind w:left="181"/>
        <w:rPr>
          <w:rFonts w:eastAsia="Calibri"/>
          <w:b/>
          <w:sz w:val="20"/>
          <w:szCs w:val="20"/>
          <w:lang w:val="en-US" w:eastAsia="en-US"/>
        </w:rPr>
      </w:pPr>
      <w:r w:rsidRPr="003E530D">
        <w:rPr>
          <w:rFonts w:eastAsia="Calibri"/>
          <w:b/>
          <w:sz w:val="20"/>
          <w:szCs w:val="20"/>
          <w:lang w:val="en-US"/>
        </w:rPr>
        <w:t>(b) Extended warranty</w:t>
      </w:r>
    </w:p>
    <w:p w14:paraId="4371C106"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(aa) For equipment purchased after January 1, 2025, CUSTOMER may acquire a one-time extended warranty. Where an extended warranty applies, the warranty will be extended from 3 years to 4 years.</w:t>
      </w:r>
    </w:p>
    <w:p w14:paraId="7E06D227"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 xml:space="preserve">(bb) To acquire an extended warranty, CUSTOMER must register on the customer portal that is provided for the relationship between RENFERT and the relevant </w:t>
      </w:r>
      <w:proofErr w:type="gramStart"/>
      <w:r w:rsidRPr="003E530D">
        <w:rPr>
          <w:rFonts w:eastAsia="Calibri"/>
          <w:bCs w:val="0"/>
          <w:sz w:val="20"/>
          <w:szCs w:val="20"/>
          <w:lang w:val="en-US"/>
        </w:rPr>
        <w:t>DEALER, and</w:t>
      </w:r>
      <w:proofErr w:type="gramEnd"/>
      <w:r w:rsidRPr="003E530D">
        <w:rPr>
          <w:rFonts w:eastAsia="Calibri"/>
          <w:bCs w:val="0"/>
          <w:sz w:val="20"/>
          <w:szCs w:val="20"/>
          <w:lang w:val="en-US"/>
        </w:rPr>
        <w:t xml:space="preserve"> add the extended warranty to its purchase. </w:t>
      </w:r>
    </w:p>
    <w:p w14:paraId="66B90D3D"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(cc) An additional fee is charged for the extended warranty, which is payable when registering and ordering the extended warranty on our customer portal. For any equipment newly purchased during 2025, an extended warranty will be free of charge if the registration on the customer portal is completed no later than January 14, 2026.</w:t>
      </w:r>
    </w:p>
    <w:p w14:paraId="643DCCBA" w14:textId="34A7FC56"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 xml:space="preserve">(dd) The extended warranty only applies to equipment or their spare parts. It does not apply to accessories and not </w:t>
      </w:r>
      <w:proofErr w:type="gramStart"/>
      <w:r w:rsidRPr="003E530D">
        <w:rPr>
          <w:rFonts w:eastAsia="Calibri"/>
          <w:bCs w:val="0"/>
          <w:sz w:val="20"/>
          <w:szCs w:val="20"/>
          <w:lang w:val="en-US"/>
        </w:rPr>
        <w:t>for</w:t>
      </w:r>
      <w:proofErr w:type="gramEnd"/>
      <w:r w:rsidRPr="003E530D">
        <w:rPr>
          <w:rFonts w:eastAsia="Calibri"/>
          <w:bCs w:val="0"/>
          <w:sz w:val="20"/>
          <w:szCs w:val="20"/>
          <w:lang w:val="en-US"/>
        </w:rPr>
        <w:t xml:space="preserve"> equipment that is used during multi-shi</w:t>
      </w:r>
      <w:r w:rsidR="004B741C">
        <w:rPr>
          <w:rFonts w:eastAsia="Calibri"/>
          <w:bCs w:val="0"/>
          <w:sz w:val="20"/>
          <w:szCs w:val="20"/>
          <w:lang w:val="en-US"/>
        </w:rPr>
        <w:t>f</w:t>
      </w:r>
      <w:r w:rsidRPr="003E530D">
        <w:rPr>
          <w:rFonts w:eastAsia="Calibri"/>
          <w:bCs w:val="0"/>
          <w:sz w:val="20"/>
          <w:szCs w:val="20"/>
          <w:lang w:val="en-US"/>
        </w:rPr>
        <w:t xml:space="preserve">t operation. </w:t>
      </w:r>
    </w:p>
    <w:p w14:paraId="31E3E72B" w14:textId="77777777" w:rsidR="001F42E2" w:rsidRPr="003E530D" w:rsidRDefault="001F42E2" w:rsidP="001F42E2">
      <w:pPr>
        <w:spacing w:after="160" w:line="259" w:lineRule="auto"/>
        <w:ind w:left="181"/>
        <w:rPr>
          <w:rFonts w:eastAsia="Calibri"/>
          <w:b/>
          <w:sz w:val="20"/>
          <w:szCs w:val="20"/>
          <w:lang w:val="en-US" w:eastAsia="en-US"/>
        </w:rPr>
      </w:pPr>
      <w:r w:rsidRPr="003E530D">
        <w:rPr>
          <w:rFonts w:eastAsia="Calibri"/>
          <w:b/>
          <w:sz w:val="20"/>
          <w:szCs w:val="20"/>
          <w:lang w:val="en-US"/>
        </w:rPr>
        <w:t>(c) Obligations of CUSTOMER in a warranty scenario</w:t>
      </w:r>
    </w:p>
    <w:p w14:paraId="0F28302B"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(aa) Before the warranty is honored, RENFERT must be given the opportunity to review the warranty claim, e.g. by returning the affected product.</w:t>
      </w:r>
    </w:p>
    <w:p w14:paraId="13CCA968"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(bb) It is CUSTOMER's obligation to prove the start of the warranty period. This proof must be provided in the form of an original sales invoice from the DEALER and, upon request, also any proof of an acquired extended warranty.</w:t>
      </w:r>
    </w:p>
    <w:p w14:paraId="2D8BAEB5"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(cc) To assert claims from this warranty, CUSTOMER must contact its DEALER or RENFERT.</w:t>
      </w:r>
    </w:p>
    <w:p w14:paraId="62BA2ADF" w14:textId="77777777" w:rsidR="001F42E2" w:rsidRPr="003E530D" w:rsidRDefault="001F42E2" w:rsidP="001F42E2">
      <w:pPr>
        <w:spacing w:after="160" w:line="259" w:lineRule="auto"/>
        <w:ind w:left="181"/>
        <w:rPr>
          <w:rFonts w:eastAsia="Calibri"/>
          <w:b/>
          <w:sz w:val="20"/>
          <w:szCs w:val="20"/>
          <w:lang w:val="en-US" w:eastAsia="en-US"/>
        </w:rPr>
      </w:pPr>
      <w:r w:rsidRPr="003E530D">
        <w:rPr>
          <w:rFonts w:eastAsia="Calibri"/>
          <w:b/>
          <w:sz w:val="20"/>
          <w:szCs w:val="20"/>
          <w:lang w:val="en-US"/>
        </w:rPr>
        <w:lastRenderedPageBreak/>
        <w:t>(d) Exclusion of warranty</w:t>
      </w:r>
    </w:p>
    <w:p w14:paraId="1B0B940A"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(aa) Any warranty for accessories supplied is excluded. This also applies to parts subject to natural wear and tear (wear parts) and consumables. These parts are marked in the spare parts list.</w:t>
      </w:r>
    </w:p>
    <w:p w14:paraId="263B141C"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(bb) The warranty is rendered void in the event of improper use, disregard of the operating, cleaning, maintenance, and connection instructions, self-repairs, and furthermore in the event of non-compliance with safety precautions, use of forces, and environmental influences.</w:t>
      </w:r>
    </w:p>
    <w:p w14:paraId="437F2CCB" w14:textId="77777777" w:rsidR="001F42E2" w:rsidRPr="003E530D" w:rsidRDefault="001F42E2" w:rsidP="001F42E2">
      <w:pPr>
        <w:spacing w:after="160" w:line="259" w:lineRule="auto"/>
        <w:ind w:left="181"/>
        <w:rPr>
          <w:rFonts w:eastAsia="Calibri"/>
          <w:bCs w:val="0"/>
          <w:sz w:val="20"/>
          <w:szCs w:val="20"/>
          <w:lang w:val="en-US" w:eastAsia="en-US"/>
        </w:rPr>
      </w:pPr>
      <w:r w:rsidRPr="003E530D">
        <w:rPr>
          <w:rFonts w:eastAsia="Calibri"/>
          <w:bCs w:val="0"/>
          <w:sz w:val="20"/>
          <w:szCs w:val="20"/>
          <w:lang w:val="en-US"/>
        </w:rPr>
        <w:t>(cc) More information on improper use of the relevant equipment can be found in the corresponding user's manual."</w:t>
      </w:r>
    </w:p>
    <w:p w14:paraId="2DAA261A" w14:textId="6E889FED" w:rsidR="000060E5" w:rsidRPr="003E530D" w:rsidRDefault="003A3522" w:rsidP="003A3522">
      <w:pPr>
        <w:pStyle w:val="berschrift1"/>
        <w:ind w:left="543" w:right="171" w:hanging="362"/>
        <w:rPr>
          <w:rFonts w:ascii="Arial" w:hAnsi="Arial"/>
          <w:lang w:val="en-US"/>
        </w:rPr>
      </w:pPr>
      <w:r w:rsidRPr="003E530D">
        <w:rPr>
          <w:rFonts w:ascii="Arial" w:hAnsi="Arial"/>
          <w:lang w:val="en-US"/>
        </w:rPr>
        <w:t>7)</w:t>
      </w:r>
      <w:r w:rsidRPr="003E530D">
        <w:rPr>
          <w:rFonts w:ascii="Arial" w:hAnsi="Arial"/>
          <w:lang w:val="en-US"/>
        </w:rPr>
        <w:tab/>
        <w:t>Payment</w:t>
      </w:r>
    </w:p>
    <w:p w14:paraId="73847AD9" w14:textId="0EFBB97B" w:rsidR="00CA2CE5" w:rsidRPr="003E530D" w:rsidRDefault="00CA2CE5" w:rsidP="00C246FF">
      <w:pPr>
        <w:pStyle w:val="FormatvorlageBlockLinks05cm"/>
        <w:ind w:left="181" w:right="171"/>
        <w:jc w:val="left"/>
        <w:rPr>
          <w:rFonts w:cs="Arial"/>
          <w:lang w:val="en-US"/>
        </w:rPr>
      </w:pPr>
      <w:r w:rsidRPr="003E530D">
        <w:rPr>
          <w:rFonts w:cs="Arial"/>
          <w:lang w:val="en-US"/>
        </w:rPr>
        <w:t>RENFERT accepts the following payment methods: prepayment, bank transfer, direct debit.</w:t>
      </w:r>
    </w:p>
    <w:p w14:paraId="44039F16" w14:textId="77777777" w:rsidR="00CA2CE5" w:rsidRPr="003E530D" w:rsidRDefault="00CA2CE5" w:rsidP="00C246FF">
      <w:pPr>
        <w:pStyle w:val="FormatvorlageBlockLinks05cm"/>
        <w:ind w:left="181" w:right="171"/>
        <w:jc w:val="left"/>
        <w:rPr>
          <w:rFonts w:cs="Arial"/>
          <w:lang w:val="en-US"/>
        </w:rPr>
      </w:pPr>
    </w:p>
    <w:p w14:paraId="59FAF425" w14:textId="10A0E99B" w:rsidR="000060E5" w:rsidRPr="003E530D" w:rsidRDefault="00FE3C68" w:rsidP="00C246FF">
      <w:pPr>
        <w:pStyle w:val="FormatvorlageBlockLinks05cm"/>
        <w:ind w:left="181" w:right="171"/>
        <w:jc w:val="left"/>
        <w:rPr>
          <w:rFonts w:cs="Arial"/>
          <w:lang w:val="en-US"/>
        </w:rPr>
      </w:pPr>
      <w:r w:rsidRPr="003E530D">
        <w:rPr>
          <w:rFonts w:cs="Arial"/>
          <w:lang w:val="en-US"/>
        </w:rPr>
        <w:t>RENFERT's invoices should be paid within 30 days of the invoice date, without deduction, provided that an agreement to the contrary has not been made. Discount interest and charges are borne by the customer. The legal regulations in §§ 286/288 of the BGB (German Civil Code) apply if payment is not made on time.</w:t>
      </w:r>
    </w:p>
    <w:p w14:paraId="738C7E60" w14:textId="74B3EA8A" w:rsidR="00852B5F" w:rsidRPr="003E530D" w:rsidRDefault="00FE3C68" w:rsidP="006172C5">
      <w:pPr>
        <w:pStyle w:val="FormatvorlageBlockLinks05cm"/>
        <w:ind w:left="181" w:right="171"/>
        <w:jc w:val="left"/>
        <w:rPr>
          <w:lang w:val="en-US"/>
        </w:rPr>
      </w:pPr>
      <w:r w:rsidRPr="003E530D">
        <w:rPr>
          <w:lang w:val="en-US"/>
        </w:rPr>
        <w:t>The customer has the right to offset only when the customer’s counterclaims have been legally established.</w:t>
      </w:r>
    </w:p>
    <w:p w14:paraId="6FD9204F" w14:textId="77777777" w:rsidR="000060E5" w:rsidRPr="003E530D" w:rsidRDefault="000060E5" w:rsidP="00C246FF">
      <w:pPr>
        <w:spacing w:line="160" w:lineRule="atLeast"/>
        <w:ind w:left="181" w:right="171"/>
        <w:rPr>
          <w:b/>
          <w:lang w:val="en-US"/>
        </w:rPr>
      </w:pPr>
    </w:p>
    <w:p w14:paraId="77B96537" w14:textId="72DEF5FF" w:rsidR="000060E5" w:rsidRPr="003E530D" w:rsidRDefault="003A3522" w:rsidP="00C246FF">
      <w:pPr>
        <w:pStyle w:val="berschrift1"/>
        <w:ind w:left="543" w:right="171" w:hanging="362"/>
        <w:rPr>
          <w:rFonts w:ascii="Arial" w:hAnsi="Arial"/>
          <w:lang w:val="en-US"/>
        </w:rPr>
      </w:pPr>
      <w:bookmarkStart w:id="2" w:name="_Hlk177571827"/>
      <w:r w:rsidRPr="003E530D">
        <w:rPr>
          <w:rFonts w:ascii="Arial" w:hAnsi="Arial"/>
          <w:lang w:val="en-US"/>
        </w:rPr>
        <w:t>8)</w:t>
      </w:r>
      <w:r w:rsidRPr="003E530D">
        <w:rPr>
          <w:rFonts w:ascii="Arial" w:hAnsi="Arial"/>
          <w:lang w:val="en-US"/>
        </w:rPr>
        <w:tab/>
        <w:t>Retention of Title</w:t>
      </w:r>
    </w:p>
    <w:bookmarkEnd w:id="2"/>
    <w:p w14:paraId="1E6CEC30" w14:textId="71865EA2" w:rsidR="000060E5" w:rsidRPr="003E530D" w:rsidRDefault="000060E5" w:rsidP="00C246FF">
      <w:pPr>
        <w:pStyle w:val="FormatvorlageBlockLinks05cm1"/>
        <w:ind w:left="181" w:right="171"/>
        <w:jc w:val="left"/>
        <w:rPr>
          <w:rFonts w:cs="Arial"/>
          <w:b/>
          <w:lang w:val="en-US"/>
        </w:rPr>
      </w:pPr>
      <w:r w:rsidRPr="003E530D">
        <w:rPr>
          <w:rFonts w:cs="Arial"/>
          <w:lang w:val="en-US"/>
        </w:rPr>
        <w:t>Title to all delivered goods shall remain vested in RENFERT until all requests for payment by RENFERT have been met in full, even though the purchase price may have been paid in the case of specific deliveries of goods. If the value of the assigned claims exceeds RENFERT's claims by more than 20%, excess securities shall be released.</w:t>
      </w:r>
    </w:p>
    <w:p w14:paraId="53ADB4FE" w14:textId="0AAB219C" w:rsidR="000060E5" w:rsidRPr="003E530D" w:rsidRDefault="000060E5" w:rsidP="00C246FF">
      <w:pPr>
        <w:pStyle w:val="FormatvorlageBlockLinks05cm1"/>
        <w:ind w:left="181" w:right="171"/>
        <w:jc w:val="left"/>
        <w:rPr>
          <w:rFonts w:cs="Arial"/>
          <w:b/>
          <w:lang w:val="en-US"/>
        </w:rPr>
      </w:pPr>
      <w:r w:rsidRPr="003E530D">
        <w:rPr>
          <w:rFonts w:cs="Arial"/>
          <w:lang w:val="en-US"/>
        </w:rPr>
        <w:t>These reserved goods may be sold on or further processed by the customer in the normal course of business provided that the customer is not in default of any payments or has not ceased making payments. If reserved goods are processed, RENFERT shall be entitled to the right of part ownership of the new goods proportionate to the value of the RENFERT goods in relation to the value of the new goods, but not less than the value of RENFERT’s claim for payment.</w:t>
      </w:r>
    </w:p>
    <w:p w14:paraId="4B41814C" w14:textId="6178DCEB" w:rsidR="000060E5" w:rsidRPr="003E530D" w:rsidRDefault="000060E5" w:rsidP="00C246FF">
      <w:pPr>
        <w:pStyle w:val="FormatvorlageBlockLinks05cm1"/>
        <w:ind w:left="181" w:right="171"/>
        <w:jc w:val="left"/>
        <w:rPr>
          <w:rFonts w:cs="Arial"/>
          <w:lang w:val="en-US"/>
        </w:rPr>
      </w:pPr>
      <w:r w:rsidRPr="003E530D">
        <w:rPr>
          <w:rFonts w:cs="Arial"/>
          <w:lang w:val="en-US"/>
        </w:rPr>
        <w:t xml:space="preserve">If the reserved goods or new products produced using these goods are sold on, RENFERT shall be entitled to the proceeds of </w:t>
      </w:r>
      <w:proofErr w:type="gramStart"/>
      <w:r w:rsidRPr="003E530D">
        <w:rPr>
          <w:rFonts w:cs="Arial"/>
          <w:lang w:val="en-US"/>
        </w:rPr>
        <w:t>sale</w:t>
      </w:r>
      <w:proofErr w:type="gramEnd"/>
      <w:r w:rsidRPr="003E530D">
        <w:rPr>
          <w:rFonts w:cs="Arial"/>
          <w:lang w:val="en-US"/>
        </w:rPr>
        <w:t xml:space="preserve"> or the claim shall take the place of the reserved goods or the newly manufactured product. Any use outside the normal course of business, in particular pledging or transferring title for security purposes, is not permitted. On seizure of reserved goods by a third party – in particular bailiffs – the customer should notify the third party of RENFERT's right to title and inform RENFERT immediately.</w:t>
      </w:r>
    </w:p>
    <w:p w14:paraId="2B0A2683" w14:textId="74C002E7" w:rsidR="000060E5" w:rsidRPr="003E530D" w:rsidRDefault="000060E5" w:rsidP="00C246FF">
      <w:pPr>
        <w:pStyle w:val="FormatvorlageBlockLinks05cm1"/>
        <w:ind w:left="181" w:right="171"/>
        <w:jc w:val="left"/>
        <w:rPr>
          <w:rFonts w:cs="Arial"/>
          <w:b/>
          <w:lang w:val="en-US"/>
        </w:rPr>
      </w:pPr>
      <w:r w:rsidRPr="003E530D">
        <w:rPr>
          <w:rFonts w:cs="Arial"/>
          <w:lang w:val="en-US"/>
        </w:rPr>
        <w:t>The customer’s authorization to pass on the goods for sale or further processing ceases if the terms of payment have not been adhered to.</w:t>
      </w:r>
    </w:p>
    <w:p w14:paraId="3F744AA1" w14:textId="198E50D9" w:rsidR="000060E5" w:rsidRPr="003E530D" w:rsidRDefault="000060E5" w:rsidP="00C246FF">
      <w:pPr>
        <w:pStyle w:val="FormatvorlageBlockLinks05cm1"/>
        <w:ind w:left="181" w:right="171"/>
        <w:jc w:val="left"/>
        <w:rPr>
          <w:lang w:val="en-US"/>
        </w:rPr>
      </w:pPr>
      <w:r w:rsidRPr="003E530D">
        <w:rPr>
          <w:rFonts w:cs="Arial"/>
          <w:lang w:val="en-US"/>
        </w:rPr>
        <w:t xml:space="preserve">This also applies in the case of unauthorized sales </w:t>
      </w:r>
      <w:proofErr w:type="gramStart"/>
      <w:r w:rsidRPr="003E530D">
        <w:rPr>
          <w:rFonts w:cs="Arial"/>
          <w:lang w:val="en-US"/>
        </w:rPr>
        <w:t>and also</w:t>
      </w:r>
      <w:proofErr w:type="gramEnd"/>
      <w:r w:rsidRPr="003E530D">
        <w:rPr>
          <w:rFonts w:cs="Arial"/>
          <w:lang w:val="en-US"/>
        </w:rPr>
        <w:t xml:space="preserve"> if the customer is subject to legal proceedings for insolvency. In these </w:t>
      </w:r>
      <w:proofErr w:type="gramStart"/>
      <w:r w:rsidRPr="003E530D">
        <w:rPr>
          <w:rFonts w:cs="Arial"/>
          <w:lang w:val="en-US"/>
        </w:rPr>
        <w:t>cases</w:t>
      </w:r>
      <w:proofErr w:type="gramEnd"/>
      <w:r w:rsidRPr="003E530D">
        <w:rPr>
          <w:rFonts w:cs="Arial"/>
          <w:lang w:val="en-US"/>
        </w:rPr>
        <w:t xml:space="preserve"> and in any other instances in which the customer acts contrary to the contract, RENFERT has the right to take immediate possession of the reserved goods. Withdrawal from the contract is made by explicit declaration. Further claims are reserved.</w:t>
      </w:r>
    </w:p>
    <w:p w14:paraId="6B5FD090" w14:textId="06A57725" w:rsidR="000060E5" w:rsidRPr="003E530D" w:rsidRDefault="000060E5" w:rsidP="00C246FF">
      <w:pPr>
        <w:ind w:left="181" w:right="171"/>
        <w:rPr>
          <w:lang w:val="en-US"/>
        </w:rPr>
      </w:pPr>
    </w:p>
    <w:p w14:paraId="55D1087E" w14:textId="77777777" w:rsidR="00996E53" w:rsidRPr="003E530D" w:rsidRDefault="00C95D62" w:rsidP="00C246FF">
      <w:pPr>
        <w:pStyle w:val="FormatvorlageBlockLinks05cm1"/>
        <w:ind w:left="181" w:right="171"/>
        <w:jc w:val="left"/>
        <w:rPr>
          <w:rFonts w:cs="Arial"/>
          <w:lang w:val="en-US"/>
        </w:rPr>
      </w:pPr>
      <w:r w:rsidRPr="003E530D">
        <w:rPr>
          <w:rFonts w:cs="Arial"/>
          <w:lang w:val="en-US"/>
        </w:rPr>
        <w:t>If the customer is located outside Germany or resells the reserved goods outside Germany, the customer must ensure the retention of title until full payment of the goods or offer an alternative, equally secure means of security.</w:t>
      </w:r>
    </w:p>
    <w:p w14:paraId="4F3F9E11" w14:textId="77777777" w:rsidR="00C95D62" w:rsidRPr="003E530D" w:rsidRDefault="00C95D62" w:rsidP="00C246FF">
      <w:pPr>
        <w:ind w:left="181" w:right="171"/>
        <w:rPr>
          <w:lang w:val="en-US"/>
        </w:rPr>
      </w:pPr>
    </w:p>
    <w:p w14:paraId="569FD947" w14:textId="2B344207" w:rsidR="000060E5" w:rsidRPr="003E530D" w:rsidRDefault="003A3522" w:rsidP="00C246FF">
      <w:pPr>
        <w:pStyle w:val="berschrift1"/>
        <w:ind w:left="543" w:right="171" w:hanging="362"/>
        <w:rPr>
          <w:rFonts w:ascii="Arial" w:hAnsi="Arial"/>
          <w:lang w:val="en-US"/>
        </w:rPr>
      </w:pPr>
      <w:r w:rsidRPr="003E530D">
        <w:rPr>
          <w:rFonts w:ascii="Arial" w:hAnsi="Arial"/>
          <w:lang w:val="en-US"/>
        </w:rPr>
        <w:t>9)</w:t>
      </w:r>
      <w:r w:rsidRPr="003E530D">
        <w:rPr>
          <w:rFonts w:ascii="Arial" w:hAnsi="Arial"/>
          <w:lang w:val="en-US"/>
        </w:rPr>
        <w:tab/>
        <w:t>Place of Jurisdiction and Applicable Law</w:t>
      </w:r>
    </w:p>
    <w:p w14:paraId="4D5F503C" w14:textId="37D6C234" w:rsidR="000060E5" w:rsidRPr="003E530D" w:rsidRDefault="00221EE7" w:rsidP="00C246FF">
      <w:pPr>
        <w:pStyle w:val="FormatvorlageBlockLinks05cm1"/>
        <w:ind w:left="181" w:right="171"/>
        <w:jc w:val="left"/>
        <w:rPr>
          <w:rFonts w:cs="Arial"/>
          <w:lang w:val="en-US"/>
        </w:rPr>
      </w:pPr>
      <w:r w:rsidRPr="003E530D">
        <w:rPr>
          <w:rFonts w:cs="Arial"/>
          <w:b/>
          <w:lang w:val="en-US"/>
        </w:rPr>
        <w:t>(a)</w:t>
      </w:r>
      <w:r w:rsidRPr="003E530D">
        <w:rPr>
          <w:rFonts w:cs="Arial"/>
          <w:lang w:val="en-US"/>
        </w:rPr>
        <w:t xml:space="preserve"> The place of jurisdiction for all rights and obligations arising from obligations between RENFERT and the customer lies with the court of </w:t>
      </w:r>
      <w:proofErr w:type="spellStart"/>
      <w:r w:rsidRPr="003E530D">
        <w:rPr>
          <w:rFonts w:cs="Arial"/>
          <w:lang w:val="en-US"/>
        </w:rPr>
        <w:t>Singen</w:t>
      </w:r>
      <w:proofErr w:type="spellEnd"/>
      <w:r w:rsidRPr="003E530D">
        <w:rPr>
          <w:rFonts w:cs="Arial"/>
          <w:lang w:val="en-US"/>
        </w:rPr>
        <w:t xml:space="preserve"> (</w:t>
      </w:r>
      <w:proofErr w:type="spellStart"/>
      <w:r w:rsidRPr="003E530D">
        <w:rPr>
          <w:rFonts w:cs="Arial"/>
          <w:lang w:val="en-US"/>
        </w:rPr>
        <w:t>Hohentwiel</w:t>
      </w:r>
      <w:proofErr w:type="spellEnd"/>
      <w:r w:rsidRPr="003E530D">
        <w:rPr>
          <w:rFonts w:cs="Arial"/>
          <w:lang w:val="en-US"/>
        </w:rPr>
        <w:t xml:space="preserve">). German law shall apply as agreed to all transactions to the exclusion of the UN Convention on Contracts for the International Sale of Goods (CISG) and the conflict of </w:t>
      </w:r>
      <w:proofErr w:type="spellStart"/>
      <w:r w:rsidRPr="003E530D">
        <w:rPr>
          <w:rFonts w:cs="Arial"/>
          <w:lang w:val="en-US"/>
        </w:rPr>
        <w:t>laws</w:t>
      </w:r>
      <w:proofErr w:type="spellEnd"/>
      <w:r w:rsidRPr="003E530D">
        <w:rPr>
          <w:rFonts w:cs="Arial"/>
          <w:lang w:val="en-US"/>
        </w:rPr>
        <w:t xml:space="preserve"> provisions.</w:t>
      </w:r>
    </w:p>
    <w:p w14:paraId="1B946247" w14:textId="77777777" w:rsidR="00221EE7" w:rsidRPr="003E530D" w:rsidRDefault="00221EE7" w:rsidP="00C246FF">
      <w:pPr>
        <w:pStyle w:val="FormatvorlageBlockLinks05cm1"/>
        <w:ind w:left="181" w:right="171"/>
        <w:jc w:val="left"/>
        <w:rPr>
          <w:rFonts w:cs="Arial"/>
          <w:lang w:val="en-US"/>
        </w:rPr>
      </w:pPr>
    </w:p>
    <w:p w14:paraId="3E9E0FFA" w14:textId="1A6B2680" w:rsidR="000060E5" w:rsidRPr="003E530D" w:rsidRDefault="003A3522" w:rsidP="00C246FF">
      <w:pPr>
        <w:pStyle w:val="berschrift1"/>
        <w:ind w:left="543" w:right="171" w:hanging="362"/>
        <w:rPr>
          <w:rFonts w:ascii="Arial" w:hAnsi="Arial"/>
          <w:lang w:val="en-US"/>
        </w:rPr>
      </w:pPr>
      <w:r w:rsidRPr="003E530D">
        <w:rPr>
          <w:rFonts w:ascii="Arial" w:hAnsi="Arial"/>
          <w:lang w:val="en-US"/>
        </w:rPr>
        <w:t>10)</w:t>
      </w:r>
      <w:r w:rsidRPr="003E530D">
        <w:rPr>
          <w:rFonts w:ascii="Arial" w:hAnsi="Arial"/>
          <w:lang w:val="en-US"/>
        </w:rPr>
        <w:tab/>
        <w:t>Other</w:t>
      </w:r>
    </w:p>
    <w:p w14:paraId="516BB2C7" w14:textId="338C3E24" w:rsidR="000060E5" w:rsidRPr="003E530D" w:rsidRDefault="000060E5" w:rsidP="00C246FF">
      <w:pPr>
        <w:pStyle w:val="FormatvorlageBlockLinks05cm"/>
        <w:ind w:left="181" w:right="171"/>
        <w:jc w:val="left"/>
        <w:rPr>
          <w:rFonts w:cs="Arial"/>
          <w:lang w:val="en-US"/>
        </w:rPr>
      </w:pPr>
      <w:r w:rsidRPr="003E530D">
        <w:rPr>
          <w:rFonts w:cs="Arial"/>
          <w:lang w:val="en-US"/>
        </w:rPr>
        <w:t>(a) RENFERT's products are subject to continuous development, which can result in modifications RENFERT reserves the right to withdraw products from its range if demand for them is too low.</w:t>
      </w:r>
    </w:p>
    <w:p w14:paraId="2BB64EA4" w14:textId="77777777" w:rsidR="00836438" w:rsidRPr="003E530D" w:rsidRDefault="00836438" w:rsidP="00C246FF">
      <w:pPr>
        <w:pStyle w:val="FormatvorlageBlockLinks05cm"/>
        <w:ind w:left="181" w:right="171"/>
        <w:jc w:val="left"/>
        <w:rPr>
          <w:rFonts w:cs="Arial"/>
          <w:b/>
          <w:lang w:val="en-US"/>
        </w:rPr>
      </w:pPr>
    </w:p>
    <w:p w14:paraId="0BF3B4F6" w14:textId="70A3B72D" w:rsidR="000060E5" w:rsidRPr="003E530D" w:rsidRDefault="000060E5" w:rsidP="00C246FF">
      <w:pPr>
        <w:pStyle w:val="FormatvorlageBlockLinks05cm"/>
        <w:ind w:left="181" w:right="171"/>
        <w:jc w:val="left"/>
        <w:rPr>
          <w:rFonts w:cs="Arial"/>
          <w:lang w:val="en-US"/>
        </w:rPr>
      </w:pPr>
      <w:r w:rsidRPr="003E530D">
        <w:rPr>
          <w:rFonts w:cs="Arial"/>
          <w:b/>
          <w:lang w:val="en-US"/>
        </w:rPr>
        <w:t>(b)</w:t>
      </w:r>
      <w:r w:rsidRPr="003E530D">
        <w:rPr>
          <w:rFonts w:cs="Arial"/>
          <w:lang w:val="en-US"/>
        </w:rPr>
        <w:t xml:space="preserve"> The customer agrees to electronic collection and processing of any data connected with business transactions. Further details </w:t>
      </w:r>
      <w:proofErr w:type="gramStart"/>
      <w:r w:rsidRPr="003E530D">
        <w:rPr>
          <w:rFonts w:cs="Arial"/>
          <w:lang w:val="en-US"/>
        </w:rPr>
        <w:t>on the subject of data</w:t>
      </w:r>
      <w:proofErr w:type="gramEnd"/>
      <w:r w:rsidRPr="003E530D">
        <w:rPr>
          <w:rFonts w:cs="Arial"/>
          <w:lang w:val="en-US"/>
        </w:rPr>
        <w:t xml:space="preserve"> protection can be found in RENFERT's data protection declaration, which can be found on the website under the following link: https://www.renfert.com/</w:t>
      </w:r>
      <w:r w:rsidR="00A6129C" w:rsidRPr="003E530D">
        <w:rPr>
          <w:rFonts w:cs="Arial"/>
          <w:lang w:val="en-US"/>
        </w:rPr>
        <w:t>en</w:t>
      </w:r>
      <w:r w:rsidRPr="003E530D">
        <w:rPr>
          <w:rFonts w:cs="Arial"/>
          <w:lang w:val="en-US"/>
        </w:rPr>
        <w:t>/</w:t>
      </w:r>
      <w:r w:rsidR="00A6129C" w:rsidRPr="003E530D">
        <w:rPr>
          <w:rFonts w:cs="Arial"/>
          <w:lang w:val="en-US"/>
        </w:rPr>
        <w:t>d</w:t>
      </w:r>
      <w:r w:rsidRPr="003E530D">
        <w:rPr>
          <w:rFonts w:cs="Arial"/>
          <w:lang w:val="en-US"/>
        </w:rPr>
        <w:t>atenschutzerklaerung.</w:t>
      </w:r>
    </w:p>
    <w:p w14:paraId="1F71EA81" w14:textId="77777777" w:rsidR="000060E5" w:rsidRPr="003E530D" w:rsidRDefault="000060E5" w:rsidP="00C246FF">
      <w:pPr>
        <w:pStyle w:val="FormatvorlageBlockLinks05cm"/>
        <w:ind w:left="181" w:right="171"/>
        <w:jc w:val="left"/>
        <w:rPr>
          <w:rFonts w:cs="Arial"/>
          <w:lang w:val="en-US"/>
        </w:rPr>
      </w:pPr>
    </w:p>
    <w:p w14:paraId="5A2EE1FD" w14:textId="292370E2" w:rsidR="009F5D70" w:rsidRPr="003E530D" w:rsidRDefault="009F5D70" w:rsidP="00046367">
      <w:pPr>
        <w:pStyle w:val="berschrift1"/>
        <w:ind w:left="661" w:right="171" w:hanging="480"/>
        <w:rPr>
          <w:rFonts w:ascii="Arial" w:hAnsi="Arial"/>
          <w:lang w:val="en-US"/>
        </w:rPr>
      </w:pPr>
      <w:r w:rsidRPr="003E530D">
        <w:rPr>
          <w:rFonts w:ascii="Arial" w:hAnsi="Arial"/>
          <w:lang w:val="en-US"/>
        </w:rPr>
        <w:lastRenderedPageBreak/>
        <w:t>11)</w:t>
      </w:r>
      <w:r w:rsidRPr="003E530D">
        <w:rPr>
          <w:rFonts w:ascii="Arial" w:hAnsi="Arial"/>
          <w:lang w:val="en-US"/>
        </w:rPr>
        <w:tab/>
        <w:t>Supplementary agreements for medical devices in accordance with Regulation (EU) 2017/745</w:t>
      </w:r>
    </w:p>
    <w:p w14:paraId="660EB52D" w14:textId="58A2D4DA" w:rsidR="00C455E9" w:rsidRPr="003E530D" w:rsidRDefault="00836438" w:rsidP="00782DDB">
      <w:pPr>
        <w:ind w:left="181" w:right="171"/>
        <w:rPr>
          <w:sz w:val="20"/>
          <w:szCs w:val="20"/>
          <w:lang w:val="en-US"/>
        </w:rPr>
      </w:pPr>
      <w:r w:rsidRPr="003E530D">
        <w:rPr>
          <w:sz w:val="20"/>
          <w:szCs w:val="20"/>
          <w:lang w:val="en-US"/>
        </w:rPr>
        <w:t xml:space="preserve">The following points list and regulate the measures which are envisaged between the contractual partners according to Regulation (EU) 2017/745 and their national implementation in Germany. RENFERT maintains a quality management system in accordance with EN ISO 13485 and complies with the regulatory and legal European requirements for medical devices. The products which RENFERT delivers are designed and manufactured in accordance with the Regulation 2017/745. </w:t>
      </w:r>
      <w:r w:rsidRPr="003E530D">
        <w:rPr>
          <w:bCs w:val="0"/>
          <w:sz w:val="20"/>
          <w:szCs w:val="20"/>
          <w:lang w:val="en-US"/>
        </w:rPr>
        <w:t>The customer and RENFERT commit themselves to ensure the following points mentioned below. In addition, the requirements from Article 14 of Regulation (EU) 2017/745 "General obligations of dealers" also apply.</w:t>
      </w:r>
    </w:p>
    <w:p w14:paraId="53382C3A" w14:textId="77777777" w:rsidR="00484F52" w:rsidRPr="003E530D" w:rsidRDefault="00484F52" w:rsidP="00C246FF">
      <w:pPr>
        <w:pStyle w:val="Listenabsatz"/>
        <w:numPr>
          <w:ilvl w:val="0"/>
          <w:numId w:val="14"/>
        </w:numPr>
        <w:ind w:right="171"/>
        <w:rPr>
          <w:bCs w:val="0"/>
          <w:sz w:val="20"/>
          <w:szCs w:val="20"/>
        </w:rPr>
      </w:pPr>
      <w:proofErr w:type="spellStart"/>
      <w:r w:rsidRPr="003E530D">
        <w:rPr>
          <w:bCs w:val="0"/>
          <w:sz w:val="20"/>
          <w:szCs w:val="20"/>
        </w:rPr>
        <w:t>Identification</w:t>
      </w:r>
      <w:proofErr w:type="spellEnd"/>
      <w:r w:rsidRPr="003E530D">
        <w:rPr>
          <w:bCs w:val="0"/>
          <w:sz w:val="20"/>
          <w:szCs w:val="20"/>
        </w:rPr>
        <w:t>:</w:t>
      </w:r>
    </w:p>
    <w:p w14:paraId="2D058B1B" w14:textId="79CC9E89" w:rsidR="009F5D70" w:rsidRPr="003E530D" w:rsidRDefault="00805ED9" w:rsidP="00C246FF">
      <w:pPr>
        <w:ind w:left="181" w:right="171"/>
        <w:rPr>
          <w:bCs w:val="0"/>
          <w:sz w:val="20"/>
          <w:szCs w:val="20"/>
          <w:lang w:val="en-US"/>
        </w:rPr>
      </w:pPr>
      <w:r w:rsidRPr="003E530D">
        <w:rPr>
          <w:bCs w:val="0"/>
          <w:sz w:val="20"/>
          <w:szCs w:val="20"/>
          <w:lang w:val="en-US"/>
        </w:rPr>
        <w:t>RENFERT marks on the order confirmation, delivery note, and invoice which items are classified as a medical device according to  Regulation (EU) 2017/745. RENFERT uses item labeling or UDI labeling of the device to ensure that supplementary product characteristics of medical devices can be identified, traced and referenced.</w:t>
      </w:r>
    </w:p>
    <w:p w14:paraId="6B02187A" w14:textId="77777777" w:rsidR="005524E2" w:rsidRPr="003E530D" w:rsidRDefault="008F7126" w:rsidP="005524E2">
      <w:pPr>
        <w:ind w:left="181" w:right="171"/>
        <w:rPr>
          <w:bCs w:val="0"/>
          <w:sz w:val="20"/>
          <w:szCs w:val="20"/>
          <w:lang w:val="en-US"/>
        </w:rPr>
      </w:pPr>
      <w:r w:rsidRPr="003E530D">
        <w:rPr>
          <w:bCs w:val="0"/>
          <w:sz w:val="20"/>
          <w:szCs w:val="20"/>
          <w:lang w:val="en-US"/>
        </w:rPr>
        <w:t xml:space="preserve">The customer must retain the batch identification/serial number identification and ensure that every single product can be traced along the downstream supply chain </w:t>
      </w:r>
      <w:proofErr w:type="gramStart"/>
      <w:r w:rsidRPr="003E530D">
        <w:rPr>
          <w:bCs w:val="0"/>
          <w:sz w:val="20"/>
          <w:szCs w:val="20"/>
          <w:lang w:val="en-US"/>
        </w:rPr>
        <w:t>on the basis of</w:t>
      </w:r>
      <w:proofErr w:type="gramEnd"/>
      <w:r w:rsidRPr="003E530D">
        <w:rPr>
          <w:bCs w:val="0"/>
          <w:sz w:val="20"/>
          <w:szCs w:val="20"/>
          <w:lang w:val="en-US"/>
        </w:rPr>
        <w:t xml:space="preserve"> the delivery documents, through to the end customer. The statutory and regulatory retention periods of 10 years must be guaranteed here. </w:t>
      </w:r>
    </w:p>
    <w:p w14:paraId="5F6B7181" w14:textId="4A71EF97" w:rsidR="00F1322C" w:rsidRPr="003E530D" w:rsidRDefault="00F1322C" w:rsidP="005524E2">
      <w:pPr>
        <w:ind w:left="181" w:right="171"/>
        <w:rPr>
          <w:bCs w:val="0"/>
          <w:sz w:val="20"/>
          <w:szCs w:val="20"/>
          <w:lang w:val="en-US"/>
        </w:rPr>
      </w:pPr>
      <w:r w:rsidRPr="003E530D">
        <w:rPr>
          <w:bCs w:val="0"/>
          <w:sz w:val="20"/>
          <w:szCs w:val="20"/>
          <w:lang w:val="en-US"/>
        </w:rPr>
        <w:t>Training:</w:t>
      </w:r>
    </w:p>
    <w:p w14:paraId="37EE4E96" w14:textId="4AB37F11" w:rsidR="009F5D70" w:rsidRPr="003E530D" w:rsidRDefault="008F7126" w:rsidP="00C246FF">
      <w:pPr>
        <w:ind w:left="181" w:right="171"/>
        <w:rPr>
          <w:sz w:val="20"/>
          <w:szCs w:val="20"/>
          <w:lang w:val="en-US"/>
        </w:rPr>
      </w:pPr>
      <w:r w:rsidRPr="003E530D">
        <w:rPr>
          <w:sz w:val="20"/>
          <w:szCs w:val="20"/>
          <w:lang w:val="en-US"/>
        </w:rPr>
        <w:t>The customer shall ensure that its employees who are responsible for selling the contractual product receive appropriate training (e.g. medical devices consultant training).</w:t>
      </w:r>
    </w:p>
    <w:p w14:paraId="4C499979" w14:textId="77777777" w:rsidR="009F5D70" w:rsidRPr="003E530D" w:rsidRDefault="00F1322C" w:rsidP="00C246FF">
      <w:pPr>
        <w:pStyle w:val="Listenabsatz"/>
        <w:numPr>
          <w:ilvl w:val="0"/>
          <w:numId w:val="14"/>
        </w:numPr>
        <w:ind w:right="171"/>
        <w:rPr>
          <w:sz w:val="20"/>
          <w:szCs w:val="20"/>
        </w:rPr>
      </w:pPr>
      <w:proofErr w:type="spellStart"/>
      <w:r w:rsidRPr="003E530D">
        <w:rPr>
          <w:sz w:val="20"/>
          <w:szCs w:val="20"/>
        </w:rPr>
        <w:t>Complaint</w:t>
      </w:r>
      <w:proofErr w:type="spellEnd"/>
      <w:r w:rsidRPr="003E530D">
        <w:rPr>
          <w:sz w:val="20"/>
          <w:szCs w:val="20"/>
        </w:rPr>
        <w:t xml:space="preserve"> </w:t>
      </w:r>
      <w:proofErr w:type="spellStart"/>
      <w:r w:rsidRPr="003E530D">
        <w:rPr>
          <w:sz w:val="20"/>
          <w:szCs w:val="20"/>
        </w:rPr>
        <w:t>handling</w:t>
      </w:r>
      <w:proofErr w:type="spellEnd"/>
      <w:r w:rsidRPr="003E530D">
        <w:rPr>
          <w:sz w:val="20"/>
          <w:szCs w:val="20"/>
        </w:rPr>
        <w:t>/</w:t>
      </w:r>
      <w:proofErr w:type="spellStart"/>
      <w:r w:rsidRPr="003E530D">
        <w:rPr>
          <w:sz w:val="20"/>
          <w:szCs w:val="20"/>
        </w:rPr>
        <w:t>reporting</w:t>
      </w:r>
      <w:proofErr w:type="spellEnd"/>
      <w:r w:rsidRPr="003E530D">
        <w:rPr>
          <w:sz w:val="20"/>
          <w:szCs w:val="20"/>
        </w:rPr>
        <w:t>:</w:t>
      </w:r>
    </w:p>
    <w:p w14:paraId="3E918DA6" w14:textId="78F666DC" w:rsidR="009F5D70" w:rsidRPr="003E530D" w:rsidRDefault="00F1322C" w:rsidP="00C246FF">
      <w:pPr>
        <w:ind w:left="181" w:right="171"/>
        <w:rPr>
          <w:sz w:val="20"/>
          <w:szCs w:val="20"/>
          <w:lang w:val="en-US"/>
        </w:rPr>
      </w:pPr>
      <w:r w:rsidRPr="003E530D">
        <w:rPr>
          <w:sz w:val="20"/>
          <w:szCs w:val="20"/>
          <w:lang w:val="en-US"/>
        </w:rPr>
        <w:t>CUSTOMER pledges to report any complaint to RENFERT within 96 hours and to report to RENFERT any incidents that could have resulted in physical injury or material damage within 24 hours. The transfer of the defective medical device to RENFERT must be arranged within 24 hours.</w:t>
      </w:r>
    </w:p>
    <w:p w14:paraId="70F3F936" w14:textId="10C5BCEE" w:rsidR="0026263F" w:rsidRPr="003E530D" w:rsidRDefault="0026263F" w:rsidP="00C246FF">
      <w:pPr>
        <w:ind w:left="181" w:right="171"/>
        <w:rPr>
          <w:sz w:val="20"/>
          <w:szCs w:val="20"/>
          <w:lang w:val="en-US"/>
        </w:rPr>
      </w:pPr>
      <w:r w:rsidRPr="003E530D">
        <w:rPr>
          <w:sz w:val="20"/>
          <w:szCs w:val="20"/>
          <w:lang w:val="en-US"/>
        </w:rPr>
        <w:t xml:space="preserve">In the event of reportable events and incidents, RENFERT and the customer shall immediately inform one another and obtain and exchange all available information required for dealing with, passing on and concluding the necessary processes. </w:t>
      </w:r>
    </w:p>
    <w:p w14:paraId="25C34725" w14:textId="278C9627" w:rsidR="0026263F" w:rsidRPr="003E530D" w:rsidRDefault="00ED1F60" w:rsidP="00C246FF">
      <w:pPr>
        <w:ind w:left="181" w:right="171"/>
        <w:rPr>
          <w:sz w:val="20"/>
          <w:szCs w:val="20"/>
          <w:lang w:val="en-US"/>
        </w:rPr>
      </w:pPr>
      <w:r w:rsidRPr="003E530D">
        <w:rPr>
          <w:sz w:val="20"/>
          <w:szCs w:val="20"/>
          <w:lang w:val="en-US"/>
        </w:rPr>
        <w:t>The customer undertakes, in the event of requirements of the notified bodies or authorities, to grant access to corresponding end customer data. The customer pledges to cooperate with RENFERT in the event of any incidents, recalls, reporting obligations even beyond the end of this contract.</w:t>
      </w:r>
    </w:p>
    <w:p w14:paraId="4F8D239E" w14:textId="6C3E9686" w:rsidR="009F5D70" w:rsidRPr="003E530D" w:rsidRDefault="009F5D70" w:rsidP="00C246FF">
      <w:pPr>
        <w:ind w:left="181" w:right="171"/>
        <w:rPr>
          <w:sz w:val="20"/>
          <w:szCs w:val="20"/>
          <w:lang w:val="en-US"/>
        </w:rPr>
      </w:pPr>
      <w:r w:rsidRPr="003E530D">
        <w:rPr>
          <w:sz w:val="20"/>
          <w:szCs w:val="20"/>
          <w:lang w:val="en-US"/>
        </w:rPr>
        <w:t>Recalls must always be coordinated with RENFERT before they are initiated.</w:t>
      </w:r>
    </w:p>
    <w:p w14:paraId="749C41AE" w14:textId="77777777" w:rsidR="009F5D70" w:rsidRPr="003E530D" w:rsidRDefault="00424B42" w:rsidP="00C246FF">
      <w:pPr>
        <w:pStyle w:val="Listenabsatz"/>
        <w:numPr>
          <w:ilvl w:val="0"/>
          <w:numId w:val="14"/>
        </w:numPr>
        <w:ind w:right="171"/>
        <w:rPr>
          <w:sz w:val="20"/>
          <w:szCs w:val="20"/>
          <w:lang w:val="en-US"/>
        </w:rPr>
      </w:pPr>
      <w:r w:rsidRPr="003E530D">
        <w:rPr>
          <w:sz w:val="20"/>
          <w:szCs w:val="20"/>
          <w:lang w:val="en-US"/>
        </w:rPr>
        <w:t>Registrations of medical devices outside the EU:</w:t>
      </w:r>
    </w:p>
    <w:p w14:paraId="015B62B2" w14:textId="2BBEA442" w:rsidR="00566E87" w:rsidRPr="003E530D" w:rsidRDefault="00046367" w:rsidP="00566E87">
      <w:pPr>
        <w:ind w:left="181" w:right="171"/>
        <w:rPr>
          <w:sz w:val="20"/>
          <w:szCs w:val="20"/>
          <w:lang w:val="en-US"/>
        </w:rPr>
      </w:pPr>
      <w:r w:rsidRPr="003E530D">
        <w:rPr>
          <w:sz w:val="20"/>
          <w:szCs w:val="20"/>
          <w:lang w:val="en-US"/>
        </w:rPr>
        <w:t xml:space="preserve">RENFERT complies with the requirements for medical devices applicable in the EU. National laws outside the EU are </w:t>
      </w:r>
      <w:proofErr w:type="gramStart"/>
      <w:r w:rsidRPr="003E530D">
        <w:rPr>
          <w:sz w:val="20"/>
          <w:szCs w:val="20"/>
          <w:lang w:val="en-US"/>
        </w:rPr>
        <w:t>taken into account</w:t>
      </w:r>
      <w:proofErr w:type="gramEnd"/>
      <w:r w:rsidRPr="003E530D">
        <w:rPr>
          <w:sz w:val="20"/>
          <w:szCs w:val="20"/>
          <w:lang w:val="en-US"/>
        </w:rPr>
        <w:t xml:space="preserve"> during registration.</w:t>
      </w:r>
    </w:p>
    <w:p w14:paraId="748C40F7" w14:textId="2FD00764" w:rsidR="009245A5" w:rsidRPr="003E530D" w:rsidRDefault="009245A5" w:rsidP="00C246FF">
      <w:pPr>
        <w:ind w:left="181" w:right="171"/>
        <w:rPr>
          <w:sz w:val="20"/>
          <w:szCs w:val="20"/>
          <w:lang w:val="en-US"/>
        </w:rPr>
      </w:pPr>
      <w:r w:rsidRPr="003E530D">
        <w:rPr>
          <w:sz w:val="20"/>
          <w:szCs w:val="20"/>
          <w:lang w:val="en-US"/>
        </w:rPr>
        <w:t>When registering medical devices outside the EU, the manufacturer named on the product labeling is always responsible, and only this manufacturer may initiate the registration. RENFERT will organize the process with the manufacturer for products where RENFERT acts as a distributor.</w:t>
      </w:r>
    </w:p>
    <w:p w14:paraId="6287AF78" w14:textId="393F277C" w:rsidR="00DD68AA" w:rsidRPr="003E530D" w:rsidRDefault="00AC3998" w:rsidP="00CA706C">
      <w:pPr>
        <w:ind w:left="181" w:right="171"/>
        <w:rPr>
          <w:strike/>
          <w:sz w:val="20"/>
          <w:szCs w:val="20"/>
          <w:lang w:val="en-US"/>
        </w:rPr>
      </w:pPr>
      <w:r w:rsidRPr="003E530D">
        <w:rPr>
          <w:sz w:val="20"/>
          <w:szCs w:val="20"/>
          <w:lang w:val="en-US"/>
        </w:rPr>
        <w:t xml:space="preserve">If CUSTOMER intends to offer medical devices that it purchases from RENFERT in countries where RENFERT does not yet have a registration for the product, RENFERT and CUSTOMER will </w:t>
      </w:r>
      <w:proofErr w:type="gramStart"/>
      <w:r w:rsidRPr="003E530D">
        <w:rPr>
          <w:sz w:val="20"/>
          <w:szCs w:val="20"/>
          <w:lang w:val="en-US"/>
        </w:rPr>
        <w:t>make a decision</w:t>
      </w:r>
      <w:proofErr w:type="gramEnd"/>
      <w:r w:rsidRPr="003E530D">
        <w:rPr>
          <w:sz w:val="20"/>
          <w:szCs w:val="20"/>
          <w:lang w:val="en-US"/>
        </w:rPr>
        <w:t xml:space="preserve"> on a registration together, whereas if there is any disagreement, RENFERT's opinion will take priority. </w:t>
      </w:r>
    </w:p>
    <w:p w14:paraId="2F9E7ABD" w14:textId="69E0B10B" w:rsidR="009F5D70" w:rsidRPr="003E530D" w:rsidRDefault="00566E87" w:rsidP="00C246FF">
      <w:pPr>
        <w:ind w:left="181" w:right="171"/>
        <w:rPr>
          <w:sz w:val="20"/>
          <w:szCs w:val="20"/>
          <w:lang w:val="en-US"/>
        </w:rPr>
      </w:pPr>
      <w:r w:rsidRPr="003E530D">
        <w:rPr>
          <w:sz w:val="20"/>
          <w:szCs w:val="20"/>
          <w:lang w:val="en-US"/>
        </w:rPr>
        <w:t>The implementation of the resulting national requirements must be individually coordinated and approved by RENFERT.</w:t>
      </w:r>
    </w:p>
    <w:p w14:paraId="6DD7841E" w14:textId="77777777" w:rsidR="009F5D70" w:rsidRPr="003E530D" w:rsidRDefault="00CF18ED" w:rsidP="00C246FF">
      <w:pPr>
        <w:pStyle w:val="Listenabsatz"/>
        <w:numPr>
          <w:ilvl w:val="0"/>
          <w:numId w:val="14"/>
        </w:numPr>
        <w:ind w:right="171"/>
        <w:rPr>
          <w:sz w:val="20"/>
          <w:szCs w:val="20"/>
          <w:lang w:val="en-US"/>
        </w:rPr>
      </w:pPr>
      <w:r w:rsidRPr="003E530D">
        <w:rPr>
          <w:sz w:val="20"/>
          <w:szCs w:val="20"/>
          <w:lang w:val="en-US"/>
        </w:rPr>
        <w:t>Selling-on outside the EU:</w:t>
      </w:r>
    </w:p>
    <w:p w14:paraId="7FF45C78" w14:textId="598EF770" w:rsidR="00CF18ED" w:rsidRPr="003E530D" w:rsidRDefault="00CF18ED" w:rsidP="00C246FF">
      <w:pPr>
        <w:pStyle w:val="Listenabsatz"/>
        <w:ind w:left="181" w:right="171"/>
        <w:rPr>
          <w:sz w:val="20"/>
          <w:szCs w:val="20"/>
          <w:lang w:val="en-US"/>
        </w:rPr>
      </w:pPr>
      <w:r w:rsidRPr="003E530D">
        <w:rPr>
          <w:sz w:val="20"/>
          <w:szCs w:val="20"/>
          <w:lang w:val="en-US"/>
        </w:rPr>
        <w:t xml:space="preserve">Any resale is strictly prohibited in countries where specific legal regulations relating to products, </w:t>
      </w:r>
      <w:proofErr w:type="gramStart"/>
      <w:r w:rsidRPr="003E530D">
        <w:rPr>
          <w:sz w:val="20"/>
          <w:szCs w:val="20"/>
          <w:lang w:val="en-US"/>
        </w:rPr>
        <w:t>in particular to</w:t>
      </w:r>
      <w:proofErr w:type="gramEnd"/>
      <w:r w:rsidRPr="003E530D">
        <w:rPr>
          <w:sz w:val="20"/>
          <w:szCs w:val="20"/>
          <w:lang w:val="en-US"/>
        </w:rPr>
        <w:t xml:space="preserve"> the actual product, its packaging and labeling, prohibit the medical devices supplied by RENFERT from being introduced in the same form as they are manufactured and marketed in the European Union by RENFERT.</w:t>
      </w:r>
    </w:p>
    <w:p w14:paraId="5C8C653F" w14:textId="77777777" w:rsidR="009F5D70" w:rsidRPr="003E530D" w:rsidRDefault="009F5D70" w:rsidP="00C246FF">
      <w:pPr>
        <w:ind w:left="181" w:right="171"/>
        <w:rPr>
          <w:b/>
          <w:bCs w:val="0"/>
          <w:sz w:val="20"/>
          <w:szCs w:val="20"/>
          <w:u w:val="single"/>
          <w:lang w:val="en-US"/>
        </w:rPr>
      </w:pPr>
    </w:p>
    <w:p w14:paraId="11151342" w14:textId="77777777" w:rsidR="000060E5" w:rsidRPr="003E530D" w:rsidRDefault="000060E5" w:rsidP="00C246FF">
      <w:pPr>
        <w:pStyle w:val="FormatvorlageBlockLinks05cm"/>
        <w:ind w:right="171" w:firstLine="181"/>
        <w:jc w:val="left"/>
        <w:rPr>
          <w:rFonts w:cs="Arial"/>
        </w:rPr>
      </w:pPr>
      <w:proofErr w:type="spellStart"/>
      <w:r w:rsidRPr="003E530D">
        <w:rPr>
          <w:rFonts w:cs="Arial"/>
        </w:rPr>
        <w:t>Misprints</w:t>
      </w:r>
      <w:proofErr w:type="spellEnd"/>
      <w:r w:rsidRPr="003E530D">
        <w:rPr>
          <w:rFonts w:cs="Arial"/>
        </w:rPr>
        <w:t xml:space="preserve"> and </w:t>
      </w:r>
      <w:proofErr w:type="spellStart"/>
      <w:r w:rsidRPr="003E530D">
        <w:rPr>
          <w:rFonts w:cs="Arial"/>
        </w:rPr>
        <w:t>errors</w:t>
      </w:r>
      <w:proofErr w:type="spellEnd"/>
      <w:r w:rsidRPr="003E530D">
        <w:rPr>
          <w:rFonts w:cs="Arial"/>
        </w:rPr>
        <w:t xml:space="preserve"> </w:t>
      </w:r>
      <w:proofErr w:type="spellStart"/>
      <w:r w:rsidRPr="003E530D">
        <w:rPr>
          <w:rFonts w:cs="Arial"/>
        </w:rPr>
        <w:t>excepted</w:t>
      </w:r>
      <w:proofErr w:type="spellEnd"/>
      <w:r w:rsidRPr="003E530D">
        <w:rPr>
          <w:rFonts w:cs="Arial"/>
        </w:rPr>
        <w:t>.</w:t>
      </w:r>
    </w:p>
    <w:p w14:paraId="709077A2" w14:textId="77777777" w:rsidR="000060E5" w:rsidRPr="003E530D" w:rsidRDefault="000060E5" w:rsidP="00C246FF">
      <w:pPr>
        <w:ind w:left="181" w:right="171"/>
        <w:rPr>
          <w:snapToGrid w:val="0"/>
          <w:color w:val="000000"/>
        </w:rPr>
      </w:pPr>
    </w:p>
    <w:p w14:paraId="714A6594" w14:textId="2A99D18A" w:rsidR="000060E5" w:rsidRPr="003E530D" w:rsidRDefault="00805ED9" w:rsidP="00C246FF">
      <w:pPr>
        <w:ind w:left="181" w:right="171"/>
        <w:rPr>
          <w:snapToGrid w:val="0"/>
          <w:sz w:val="20"/>
          <w:szCs w:val="20"/>
        </w:rPr>
      </w:pPr>
      <w:r w:rsidRPr="003E530D">
        <w:rPr>
          <w:snapToGrid w:val="0"/>
          <w:color w:val="000000"/>
          <w:sz w:val="20"/>
          <w:szCs w:val="20"/>
        </w:rPr>
        <w:t>RENFERT GmbH / Untere Giesswiesen 2 / 78247 Hilzingen / Germany</w:t>
      </w:r>
    </w:p>
    <w:p w14:paraId="4E27D5FA" w14:textId="77777777" w:rsidR="000060E5" w:rsidRPr="003E530D" w:rsidRDefault="000060E5" w:rsidP="00C246FF">
      <w:pPr>
        <w:pStyle w:val="Kopfzeile"/>
        <w:tabs>
          <w:tab w:val="clear" w:pos="4536"/>
          <w:tab w:val="clear" w:pos="9072"/>
        </w:tabs>
        <w:ind w:left="181" w:right="171"/>
        <w:rPr>
          <w:snapToGrid w:val="0"/>
          <w:sz w:val="20"/>
          <w:szCs w:val="20"/>
          <w:lang w:val="en-US"/>
        </w:rPr>
      </w:pPr>
      <w:r w:rsidRPr="003E530D">
        <w:rPr>
          <w:snapToGrid w:val="0"/>
          <w:sz w:val="20"/>
          <w:szCs w:val="20"/>
          <w:lang w:val="es-ES"/>
        </w:rPr>
        <w:t xml:space="preserve">Tel.: +49 77 31 82 08-0 / Fax: +49 77 31 82 08-70 </w:t>
      </w:r>
    </w:p>
    <w:p w14:paraId="24C8F296" w14:textId="0AB05D78" w:rsidR="004960CE" w:rsidRPr="003E0DA0" w:rsidRDefault="00CA706C" w:rsidP="003E0DA0">
      <w:pPr>
        <w:ind w:left="181" w:right="171"/>
        <w:rPr>
          <w:snapToGrid w:val="0"/>
          <w:color w:val="000000"/>
          <w:sz w:val="20"/>
          <w:szCs w:val="20"/>
          <w:lang w:val="en-GB"/>
        </w:rPr>
      </w:pPr>
      <w:hyperlink r:id="rId8" w:history="1">
        <w:r w:rsidRPr="003E530D">
          <w:rPr>
            <w:snapToGrid w:val="0"/>
            <w:sz w:val="20"/>
            <w:szCs w:val="20"/>
            <w:lang w:val="es-ES"/>
          </w:rPr>
          <w:t>info@RENFERT.com</w:t>
        </w:r>
      </w:hyperlink>
      <w:r w:rsidRPr="003E530D">
        <w:rPr>
          <w:snapToGrid w:val="0"/>
          <w:sz w:val="20"/>
          <w:szCs w:val="20"/>
          <w:lang w:val="es-ES"/>
        </w:rPr>
        <w:t xml:space="preserve"> / </w:t>
      </w:r>
      <w:hyperlink r:id="rId9" w:history="1">
        <w:r w:rsidRPr="003E530D">
          <w:rPr>
            <w:snapToGrid w:val="0"/>
            <w:sz w:val="20"/>
            <w:szCs w:val="20"/>
            <w:lang w:val="es-ES"/>
          </w:rPr>
          <w:t>www.RENFERT.com</w:t>
        </w:r>
      </w:hyperlink>
    </w:p>
    <w:sectPr w:rsidR="004960CE" w:rsidRPr="003E0DA0" w:rsidSect="008D5AE4">
      <w:headerReference w:type="even" r:id="rId10"/>
      <w:headerReference w:type="default" r:id="rId11"/>
      <w:footerReference w:type="even" r:id="rId12"/>
      <w:footerReference w:type="default" r:id="rId13"/>
      <w:headerReference w:type="first" r:id="rId14"/>
      <w:footerReference w:type="first" r:id="rId15"/>
      <w:pgSz w:w="11906" w:h="16838" w:code="9"/>
      <w:pgMar w:top="454" w:right="567"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292B6" w14:textId="77777777" w:rsidR="00235A74" w:rsidRDefault="00235A74">
      <w:r>
        <w:separator/>
      </w:r>
    </w:p>
  </w:endnote>
  <w:endnote w:type="continuationSeparator" w:id="0">
    <w:p w14:paraId="7DF9BC4D" w14:textId="77777777" w:rsidR="00235A74" w:rsidRDefault="0023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F5DF" w14:textId="77777777" w:rsidR="00A45589" w:rsidRPr="004A79AD" w:rsidRDefault="00A45589" w:rsidP="004A79AD">
    <w:pPr>
      <w:pStyle w:val="Fuzeile"/>
      <w:rPr>
        <w:sz w:val="12"/>
        <w:szCs w:val="12"/>
      </w:rPr>
    </w:pPr>
    <w:r w:rsidRPr="00271116">
      <w:rPr>
        <w:sz w:val="12"/>
        <w:szCs w:val="12"/>
      </w:rPr>
      <w:fldChar w:fldCharType="begin"/>
    </w:r>
    <w:r w:rsidRPr="00271116">
      <w:rPr>
        <w:sz w:val="12"/>
        <w:szCs w:val="12"/>
      </w:rPr>
      <w:instrText xml:space="preserve"> FILENAME \p </w:instrText>
    </w:r>
    <w:r w:rsidRPr="00271116">
      <w:rPr>
        <w:sz w:val="12"/>
        <w:szCs w:val="12"/>
      </w:rPr>
      <w:fldChar w:fldCharType="separate"/>
    </w:r>
    <w:r w:rsidR="00B50E2B">
      <w:rPr>
        <w:noProof/>
        <w:sz w:val="12"/>
        <w:szCs w:val="12"/>
      </w:rPr>
      <w:t>K:\03 Bereiche\Administration\Controlling_Organisation\02 Abteilungsordner\Recht_und_QM\AGB_2021\FB-CO-01_AGB_Deutsch_ENDVERSION mit MPG neu_Rev_13_9-2020.docx</w:t>
    </w:r>
    <w:r w:rsidRPr="00271116">
      <w:rPr>
        <w:sz w:val="12"/>
        <w:szCs w:val="12"/>
      </w:rPr>
      <w:fldChar w:fldCharType="end"/>
    </w:r>
  </w:p>
  <w:p w14:paraId="5503203C" w14:textId="77777777" w:rsidR="00A45589" w:rsidRPr="004A79AD" w:rsidRDefault="00A45589" w:rsidP="004A79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B1ED" w14:textId="77777777" w:rsidR="00A45589" w:rsidRDefault="00A45589">
    <w:pPr>
      <w:pStyle w:val="Fuzeile"/>
      <w:rPr>
        <w:sz w:val="16"/>
        <w:szCs w:val="16"/>
      </w:rPr>
    </w:pPr>
  </w:p>
  <w:p w14:paraId="60D8A324" w14:textId="1368BAEA" w:rsidR="00A45589" w:rsidRDefault="00BB4C43">
    <w:pPr>
      <w:pStyle w:val="Fuzeile"/>
      <w:rPr>
        <w:sz w:val="16"/>
        <w:szCs w:val="16"/>
      </w:rPr>
    </w:pPr>
    <w:r>
      <w:rPr>
        <w:sz w:val="16"/>
        <w:szCs w:val="16"/>
      </w:rPr>
      <w:t>Rev: 1</w:t>
    </w:r>
    <w:r w:rsidR="00417DFB">
      <w:rPr>
        <w:sz w:val="16"/>
        <w:szCs w:val="16"/>
      </w:rPr>
      <w:t>6</w:t>
    </w:r>
  </w:p>
  <w:p w14:paraId="71F7984E" w14:textId="69F7C3DE" w:rsidR="00A45589" w:rsidRDefault="00A45589">
    <w:pPr>
      <w:pStyle w:val="Fuzeile"/>
      <w:rPr>
        <w:rStyle w:val="Seitenzahl"/>
        <w:sz w:val="16"/>
        <w:szCs w:val="16"/>
      </w:rPr>
    </w:pPr>
    <w:r>
      <w:rPr>
        <w:sz w:val="16"/>
        <w:szCs w:val="16"/>
      </w:rPr>
      <w:t>Status: 09/202</w:t>
    </w:r>
    <w:r w:rsidR="00417DFB">
      <w:rPr>
        <w:sz w:val="16"/>
        <w:szCs w:val="16"/>
      </w:rPr>
      <w:t>4</w:t>
    </w:r>
    <w:r>
      <w:rPr>
        <w:sz w:val="16"/>
        <w:szCs w:val="16"/>
      </w:rPr>
      <w:t>, BAS</w:t>
    </w: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9C0C" w14:textId="77777777" w:rsidR="00A45589" w:rsidRPr="004A79AD" w:rsidRDefault="00A45589">
    <w:pPr>
      <w:pStyle w:val="Fuzeile"/>
      <w:rPr>
        <w:sz w:val="12"/>
        <w:szCs w:val="12"/>
      </w:rPr>
    </w:pPr>
    <w:r w:rsidRPr="00271116">
      <w:rPr>
        <w:sz w:val="12"/>
        <w:szCs w:val="12"/>
      </w:rPr>
      <w:fldChar w:fldCharType="begin"/>
    </w:r>
    <w:r w:rsidRPr="00271116">
      <w:rPr>
        <w:sz w:val="12"/>
        <w:szCs w:val="12"/>
      </w:rPr>
      <w:instrText xml:space="preserve"> FILENAME \p </w:instrText>
    </w:r>
    <w:r w:rsidRPr="00271116">
      <w:rPr>
        <w:sz w:val="12"/>
        <w:szCs w:val="12"/>
      </w:rPr>
      <w:fldChar w:fldCharType="separate"/>
    </w:r>
    <w:r w:rsidR="00B50E2B">
      <w:rPr>
        <w:noProof/>
        <w:sz w:val="12"/>
        <w:szCs w:val="12"/>
      </w:rPr>
      <w:t>K:\03 Bereiche\Administration\Controlling_Organisation\02 Abteilungsordner\Recht_und_QM\AGB_2021\FB-CO-01_AGB_Deutsch_ENDVERSION mit MPG neu_Rev_13_9-2020.docx</w:t>
    </w:r>
    <w:r w:rsidRPr="0027111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F2C88" w14:textId="77777777" w:rsidR="00235A74" w:rsidRDefault="00235A74">
      <w:r>
        <w:separator/>
      </w:r>
    </w:p>
  </w:footnote>
  <w:footnote w:type="continuationSeparator" w:id="0">
    <w:p w14:paraId="5654B7EC" w14:textId="77777777" w:rsidR="00235A74" w:rsidRDefault="0023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0"/>
      <w:gridCol w:w="754"/>
      <w:gridCol w:w="5209"/>
      <w:gridCol w:w="1134"/>
      <w:gridCol w:w="964"/>
    </w:tblGrid>
    <w:tr w:rsidR="00A45589" w14:paraId="7C0BF392" w14:textId="77777777">
      <w:trPr>
        <w:cantSplit/>
        <w:trHeight w:hRule="exact" w:val="160"/>
      </w:trPr>
      <w:tc>
        <w:tcPr>
          <w:tcW w:w="2420" w:type="dxa"/>
          <w:vMerge w:val="restart"/>
          <w:tcBorders>
            <w:top w:val="single" w:sz="4" w:space="0" w:color="auto"/>
            <w:right w:val="single" w:sz="8" w:space="0" w:color="auto"/>
          </w:tcBorders>
          <w:vAlign w:val="center"/>
        </w:tcPr>
        <w:p w14:paraId="5EF5A8F7" w14:textId="77777777" w:rsidR="00A45589" w:rsidRDefault="00A45589" w:rsidP="006A4159">
          <w:pPr>
            <w:jc w:val="center"/>
          </w:pPr>
          <w:r>
            <w:rPr>
              <w:noProof/>
            </w:rPr>
            <w:drawing>
              <wp:inline distT="0" distB="0" distL="0" distR="0" wp14:anchorId="1376CF44" wp14:editId="4FFA18FA">
                <wp:extent cx="1447800" cy="542925"/>
                <wp:effectExtent l="0" t="0" r="0" b="9525"/>
                <wp:docPr id="1" name="Bild 1" descr="RENF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F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42925"/>
                        </a:xfrm>
                        <a:prstGeom prst="rect">
                          <a:avLst/>
                        </a:prstGeom>
                        <a:noFill/>
                        <a:ln>
                          <a:noFill/>
                        </a:ln>
                      </pic:spPr>
                    </pic:pic>
                  </a:graphicData>
                </a:graphic>
              </wp:inline>
            </w:drawing>
          </w:r>
        </w:p>
      </w:tc>
      <w:tc>
        <w:tcPr>
          <w:tcW w:w="5963" w:type="dxa"/>
          <w:gridSpan w:val="2"/>
          <w:vMerge w:val="restart"/>
          <w:tcBorders>
            <w:top w:val="single" w:sz="4" w:space="0" w:color="auto"/>
            <w:left w:val="single" w:sz="8" w:space="0" w:color="auto"/>
            <w:right w:val="single" w:sz="8" w:space="0" w:color="auto"/>
          </w:tcBorders>
          <w:vAlign w:val="center"/>
        </w:tcPr>
        <w:p w14:paraId="115FED11" w14:textId="77777777" w:rsidR="00A45589" w:rsidRDefault="00A45589" w:rsidP="006A4159">
          <w:pPr>
            <w:pStyle w:val="Kopfzeile"/>
            <w:jc w:val="center"/>
            <w:rPr>
              <w:b/>
              <w:bCs w:val="0"/>
              <w:caps/>
              <w:sz w:val="28"/>
            </w:rPr>
          </w:pPr>
          <w:r>
            <w:rPr>
              <w:b/>
              <w:bCs w:val="0"/>
              <w:caps/>
              <w:sz w:val="28"/>
            </w:rPr>
            <w:fldChar w:fldCharType="begin"/>
          </w:r>
          <w:r>
            <w:rPr>
              <w:b/>
              <w:bCs w:val="0"/>
              <w:caps/>
              <w:sz w:val="28"/>
            </w:rPr>
            <w:instrText xml:space="preserve"> TITLE   \* MERGEFORMAT </w:instrText>
          </w:r>
          <w:r>
            <w:rPr>
              <w:b/>
              <w:bCs w:val="0"/>
              <w:caps/>
              <w:sz w:val="28"/>
            </w:rPr>
            <w:fldChar w:fldCharType="end"/>
          </w:r>
        </w:p>
      </w:tc>
      <w:tc>
        <w:tcPr>
          <w:tcW w:w="2098" w:type="dxa"/>
          <w:gridSpan w:val="2"/>
          <w:tcBorders>
            <w:top w:val="single" w:sz="4" w:space="0" w:color="auto"/>
            <w:left w:val="single" w:sz="8" w:space="0" w:color="auto"/>
            <w:bottom w:val="nil"/>
            <w:right w:val="single" w:sz="4" w:space="0" w:color="auto"/>
          </w:tcBorders>
          <w:vAlign w:val="center"/>
        </w:tcPr>
        <w:p w14:paraId="281656C8" w14:textId="77777777" w:rsidR="00A45589" w:rsidRDefault="00A45589" w:rsidP="006A4159">
          <w:pPr>
            <w:pStyle w:val="Kopfzeile"/>
            <w:jc w:val="center"/>
            <w:rPr>
              <w:sz w:val="16"/>
            </w:rPr>
          </w:pPr>
          <w:r>
            <w:rPr>
              <w:sz w:val="16"/>
            </w:rPr>
            <w:t>Dokument Nr.:</w:t>
          </w:r>
        </w:p>
      </w:tc>
    </w:tr>
    <w:tr w:rsidR="00A45589" w14:paraId="79AF02D1" w14:textId="77777777">
      <w:trPr>
        <w:cantSplit/>
        <w:trHeight w:hRule="exact" w:val="400"/>
      </w:trPr>
      <w:tc>
        <w:tcPr>
          <w:tcW w:w="2420" w:type="dxa"/>
          <w:vMerge/>
          <w:tcBorders>
            <w:right w:val="single" w:sz="8" w:space="0" w:color="auto"/>
          </w:tcBorders>
        </w:tcPr>
        <w:p w14:paraId="718C1BBA" w14:textId="77777777" w:rsidR="00A45589" w:rsidRDefault="00A45589" w:rsidP="006A4159"/>
      </w:tc>
      <w:tc>
        <w:tcPr>
          <w:tcW w:w="5963" w:type="dxa"/>
          <w:gridSpan w:val="2"/>
          <w:vMerge/>
          <w:tcBorders>
            <w:left w:val="single" w:sz="8" w:space="0" w:color="auto"/>
            <w:bottom w:val="single" w:sz="4" w:space="0" w:color="auto"/>
            <w:right w:val="single" w:sz="8" w:space="0" w:color="auto"/>
          </w:tcBorders>
        </w:tcPr>
        <w:p w14:paraId="271099CB" w14:textId="77777777" w:rsidR="00A45589" w:rsidRDefault="00A45589" w:rsidP="006A4159"/>
      </w:tc>
      <w:tc>
        <w:tcPr>
          <w:tcW w:w="2098" w:type="dxa"/>
          <w:gridSpan w:val="2"/>
          <w:tcBorders>
            <w:top w:val="nil"/>
            <w:left w:val="single" w:sz="8" w:space="0" w:color="auto"/>
            <w:bottom w:val="single" w:sz="4" w:space="0" w:color="auto"/>
            <w:right w:val="single" w:sz="4" w:space="0" w:color="auto"/>
          </w:tcBorders>
          <w:vAlign w:val="center"/>
        </w:tcPr>
        <w:p w14:paraId="42E8D7E3" w14:textId="77777777" w:rsidR="00A45589" w:rsidRDefault="00A45589" w:rsidP="006A4159">
          <w:pPr>
            <w:pStyle w:val="Kopfzeile"/>
            <w:jc w:val="center"/>
            <w:rPr>
              <w:b/>
              <w:bCs w:val="0"/>
            </w:rPr>
          </w:pPr>
        </w:p>
      </w:tc>
    </w:tr>
    <w:tr w:rsidR="00A45589" w14:paraId="7BEAEBD8" w14:textId="77777777">
      <w:trPr>
        <w:cantSplit/>
        <w:trHeight w:hRule="exact" w:val="300"/>
      </w:trPr>
      <w:tc>
        <w:tcPr>
          <w:tcW w:w="2420" w:type="dxa"/>
          <w:vMerge/>
          <w:tcBorders>
            <w:right w:val="single" w:sz="8" w:space="0" w:color="auto"/>
          </w:tcBorders>
        </w:tcPr>
        <w:p w14:paraId="4A0C0695" w14:textId="77777777" w:rsidR="00A45589" w:rsidRDefault="00A45589" w:rsidP="006A4159"/>
      </w:tc>
      <w:tc>
        <w:tcPr>
          <w:tcW w:w="754" w:type="dxa"/>
          <w:vMerge w:val="restart"/>
          <w:tcBorders>
            <w:left w:val="single" w:sz="8" w:space="0" w:color="auto"/>
            <w:bottom w:val="nil"/>
            <w:right w:val="nil"/>
          </w:tcBorders>
          <w:shd w:val="clear" w:color="auto" w:fill="auto"/>
          <w:vAlign w:val="center"/>
        </w:tcPr>
        <w:p w14:paraId="4A65694E" w14:textId="77777777" w:rsidR="00A45589" w:rsidRDefault="00A45589" w:rsidP="006A4159">
          <w:pPr>
            <w:pStyle w:val="Kopfzeile"/>
            <w:jc w:val="center"/>
            <w:rPr>
              <w:b/>
              <w:bCs w:val="0"/>
              <w:caps/>
            </w:rPr>
          </w:pPr>
        </w:p>
      </w:tc>
      <w:tc>
        <w:tcPr>
          <w:tcW w:w="5209" w:type="dxa"/>
          <w:vMerge w:val="restart"/>
          <w:tcBorders>
            <w:left w:val="nil"/>
            <w:bottom w:val="nil"/>
            <w:right w:val="single" w:sz="8" w:space="0" w:color="auto"/>
          </w:tcBorders>
          <w:vAlign w:val="center"/>
        </w:tcPr>
        <w:p w14:paraId="2F85B3BF" w14:textId="77777777" w:rsidR="00A45589" w:rsidRDefault="00A45589" w:rsidP="006A4159">
          <w:pPr>
            <w:pStyle w:val="Kopfzeile"/>
            <w:jc w:val="center"/>
            <w:rPr>
              <w:b/>
              <w:bCs w:val="0"/>
              <w:caps/>
            </w:rPr>
          </w:pPr>
          <w:r>
            <w:rPr>
              <w:b/>
              <w:bCs w:val="0"/>
              <w:caps/>
            </w:rPr>
            <w:fldChar w:fldCharType="begin"/>
          </w:r>
          <w:r>
            <w:rPr>
              <w:b/>
              <w:bCs w:val="0"/>
              <w:caps/>
            </w:rPr>
            <w:instrText xml:space="preserve"> SUBJECT  \* MERGEFORMAT </w:instrText>
          </w:r>
          <w:r>
            <w:rPr>
              <w:b/>
              <w:bCs w:val="0"/>
              <w:caps/>
            </w:rPr>
            <w:fldChar w:fldCharType="separate"/>
          </w:r>
          <w:r w:rsidR="00B50E2B">
            <w:rPr>
              <w:b/>
              <w:bCs w:val="0"/>
              <w:caps/>
            </w:rPr>
            <w:t>ALLGEMEINE GESCHÄFTSBEDINGUNGEN</w:t>
          </w:r>
          <w:r>
            <w:rPr>
              <w:b/>
              <w:bCs w:val="0"/>
              <w:caps/>
            </w:rPr>
            <w:fldChar w:fldCharType="end"/>
          </w:r>
        </w:p>
      </w:tc>
      <w:tc>
        <w:tcPr>
          <w:tcW w:w="1134" w:type="dxa"/>
          <w:tcBorders>
            <w:left w:val="single" w:sz="8" w:space="0" w:color="auto"/>
            <w:bottom w:val="single" w:sz="4" w:space="0" w:color="auto"/>
            <w:right w:val="nil"/>
          </w:tcBorders>
          <w:vAlign w:val="center"/>
        </w:tcPr>
        <w:p w14:paraId="374D7B22" w14:textId="77777777" w:rsidR="00A45589" w:rsidRDefault="00A45589" w:rsidP="006A4159">
          <w:pPr>
            <w:pStyle w:val="Kopfzeile"/>
            <w:jc w:val="right"/>
            <w:rPr>
              <w:sz w:val="16"/>
            </w:rPr>
          </w:pPr>
          <w:r>
            <w:rPr>
              <w:sz w:val="16"/>
            </w:rPr>
            <w:t>Rev.</w:t>
          </w:r>
          <w:smartTag w:uri="urn:schemas-microsoft-com:office:smarttags" w:element="PersonName">
            <w:r>
              <w:rPr>
                <w:sz w:val="16"/>
              </w:rPr>
              <w:t>-</w:t>
            </w:r>
          </w:smartTag>
          <w:r>
            <w:rPr>
              <w:sz w:val="16"/>
            </w:rPr>
            <w:t xml:space="preserve"> Stand:</w:t>
          </w:r>
        </w:p>
      </w:tc>
      <w:tc>
        <w:tcPr>
          <w:tcW w:w="964" w:type="dxa"/>
          <w:tcBorders>
            <w:left w:val="nil"/>
            <w:bottom w:val="single" w:sz="4" w:space="0" w:color="auto"/>
            <w:right w:val="single" w:sz="4" w:space="0" w:color="auto"/>
          </w:tcBorders>
          <w:vAlign w:val="center"/>
        </w:tcPr>
        <w:p w14:paraId="32798B8A" w14:textId="77777777" w:rsidR="00A45589" w:rsidRDefault="00A45589" w:rsidP="006A4159">
          <w:pPr>
            <w:pStyle w:val="Kopfzeile"/>
            <w:jc w:val="center"/>
            <w:rPr>
              <w:b/>
              <w:bCs w:val="0"/>
            </w:rPr>
          </w:pPr>
        </w:p>
      </w:tc>
    </w:tr>
    <w:tr w:rsidR="00A45589" w14:paraId="3EC29EDA" w14:textId="77777777">
      <w:trPr>
        <w:cantSplit/>
        <w:trHeight w:hRule="exact" w:val="300"/>
      </w:trPr>
      <w:tc>
        <w:tcPr>
          <w:tcW w:w="2420" w:type="dxa"/>
          <w:vMerge/>
          <w:tcBorders>
            <w:bottom w:val="nil"/>
            <w:right w:val="single" w:sz="8" w:space="0" w:color="auto"/>
          </w:tcBorders>
        </w:tcPr>
        <w:p w14:paraId="7E66BEF1" w14:textId="77777777" w:rsidR="00A45589" w:rsidRDefault="00A45589" w:rsidP="006A4159"/>
      </w:tc>
      <w:tc>
        <w:tcPr>
          <w:tcW w:w="754" w:type="dxa"/>
          <w:vMerge/>
          <w:tcBorders>
            <w:top w:val="nil"/>
            <w:left w:val="single" w:sz="8" w:space="0" w:color="auto"/>
            <w:bottom w:val="nil"/>
            <w:right w:val="nil"/>
          </w:tcBorders>
          <w:shd w:val="clear" w:color="auto" w:fill="auto"/>
        </w:tcPr>
        <w:p w14:paraId="46B81EF5" w14:textId="77777777" w:rsidR="00A45589" w:rsidRDefault="00A45589" w:rsidP="006A4159"/>
      </w:tc>
      <w:tc>
        <w:tcPr>
          <w:tcW w:w="5209" w:type="dxa"/>
          <w:vMerge/>
          <w:tcBorders>
            <w:top w:val="nil"/>
            <w:left w:val="nil"/>
            <w:bottom w:val="nil"/>
            <w:right w:val="single" w:sz="8" w:space="0" w:color="auto"/>
          </w:tcBorders>
        </w:tcPr>
        <w:p w14:paraId="20887D24" w14:textId="77777777" w:rsidR="00A45589" w:rsidRDefault="00A45589" w:rsidP="006A4159"/>
      </w:tc>
      <w:tc>
        <w:tcPr>
          <w:tcW w:w="1134" w:type="dxa"/>
          <w:tcBorders>
            <w:left w:val="single" w:sz="8" w:space="0" w:color="auto"/>
            <w:bottom w:val="nil"/>
            <w:right w:val="nil"/>
          </w:tcBorders>
          <w:vAlign w:val="center"/>
        </w:tcPr>
        <w:p w14:paraId="2F358347" w14:textId="77777777" w:rsidR="00A45589" w:rsidRDefault="00A45589" w:rsidP="006A4159">
          <w:pPr>
            <w:pStyle w:val="Kopfzeile"/>
            <w:jc w:val="right"/>
            <w:rPr>
              <w:sz w:val="16"/>
            </w:rPr>
          </w:pPr>
          <w:r>
            <w:rPr>
              <w:sz w:val="16"/>
            </w:rPr>
            <w:t>Seite:</w:t>
          </w:r>
        </w:p>
      </w:tc>
      <w:tc>
        <w:tcPr>
          <w:tcW w:w="964" w:type="dxa"/>
          <w:tcBorders>
            <w:left w:val="nil"/>
            <w:bottom w:val="nil"/>
            <w:right w:val="single" w:sz="4" w:space="0" w:color="auto"/>
          </w:tcBorders>
          <w:vAlign w:val="center"/>
        </w:tcPr>
        <w:p w14:paraId="32FA1349" w14:textId="77777777" w:rsidR="00A45589" w:rsidRDefault="00A45589" w:rsidP="006A4159">
          <w:pPr>
            <w:pStyle w:val="Kopfzeile"/>
            <w:jc w:val="center"/>
            <w:rPr>
              <w:b/>
              <w:bCs w:val="0"/>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50E2B">
            <w:rPr>
              <w:rStyle w:val="Seitenzahl"/>
              <w:noProof/>
            </w:rPr>
            <w:t>4</w:t>
          </w:r>
          <w:r>
            <w:rPr>
              <w:rStyle w:val="Seitenzahl"/>
            </w:rPr>
            <w:fldChar w:fldCharType="end"/>
          </w:r>
        </w:p>
      </w:tc>
    </w:tr>
  </w:tbl>
  <w:p w14:paraId="4B54E809" w14:textId="77777777" w:rsidR="00A45589" w:rsidRDefault="00A45589" w:rsidP="003D38AD">
    <w:r>
      <w:rPr>
        <w:noProof/>
      </w:rPr>
      <mc:AlternateContent>
        <mc:Choice Requires="wps">
          <w:drawing>
            <wp:anchor distT="0" distB="0" distL="114300" distR="114300" simplePos="0" relativeHeight="251662336" behindDoc="1" locked="1" layoutInCell="1" allowOverlap="1" wp14:anchorId="489D0E47" wp14:editId="4C39A35E">
              <wp:simplePos x="0" y="0"/>
              <wp:positionH relativeFrom="column">
                <wp:posOffset>-3175</wp:posOffset>
              </wp:positionH>
              <wp:positionV relativeFrom="paragraph">
                <wp:posOffset>0</wp:posOffset>
              </wp:positionV>
              <wp:extent cx="6661785" cy="8783955"/>
              <wp:effectExtent l="6350" t="9525" r="8890"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785" cy="8783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4B3E" id="Rectangle 3" o:spid="_x0000_s1026" style="position:absolute;margin-left:-.25pt;margin-top:0;width:524.55pt;height:69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gFIQIAAD0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">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4"/>
      <w:gridCol w:w="5963"/>
      <w:gridCol w:w="1134"/>
      <w:gridCol w:w="973"/>
    </w:tblGrid>
    <w:tr w:rsidR="00C246FF" w14:paraId="30B7B415" w14:textId="77777777" w:rsidTr="00C246FF">
      <w:trPr>
        <w:cantSplit/>
        <w:trHeight w:hRule="exact" w:val="160"/>
      </w:trPr>
      <w:tc>
        <w:tcPr>
          <w:tcW w:w="2704" w:type="dxa"/>
          <w:vMerge w:val="restart"/>
          <w:tcBorders>
            <w:top w:val="single" w:sz="4" w:space="0" w:color="auto"/>
            <w:right w:val="single" w:sz="4" w:space="0" w:color="auto"/>
          </w:tcBorders>
          <w:vAlign w:val="center"/>
        </w:tcPr>
        <w:p w14:paraId="7ABD304F" w14:textId="77777777" w:rsidR="00C246FF" w:rsidRPr="003F34F2" w:rsidRDefault="00C246FF" w:rsidP="00E85951">
          <w:r>
            <w:t xml:space="preserve">   </w:t>
          </w:r>
          <w:r>
            <w:rPr>
              <w:noProof/>
            </w:rPr>
            <w:drawing>
              <wp:inline distT="0" distB="0" distL="0" distR="0" wp14:anchorId="5A3D245D" wp14:editId="76A8EE1B">
                <wp:extent cx="1206228" cy="7524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278" cy="753130"/>
                        </a:xfrm>
                        <a:prstGeom prst="rect">
                          <a:avLst/>
                        </a:prstGeom>
                      </pic:spPr>
                    </pic:pic>
                  </a:graphicData>
                </a:graphic>
              </wp:inline>
            </w:drawing>
          </w:r>
        </w:p>
      </w:tc>
      <w:tc>
        <w:tcPr>
          <w:tcW w:w="5963" w:type="dxa"/>
          <w:vMerge w:val="restart"/>
          <w:tcBorders>
            <w:top w:val="single" w:sz="4" w:space="0" w:color="auto"/>
            <w:left w:val="single" w:sz="4" w:space="0" w:color="auto"/>
            <w:right w:val="single" w:sz="8" w:space="0" w:color="auto"/>
          </w:tcBorders>
          <w:vAlign w:val="center"/>
        </w:tcPr>
        <w:p w14:paraId="46F352AA" w14:textId="6BD7740D" w:rsidR="00C246FF" w:rsidRDefault="00C246FF" w:rsidP="004F6C92">
          <w:pPr>
            <w:pStyle w:val="Kopfzeile"/>
            <w:jc w:val="center"/>
            <w:rPr>
              <w:b/>
              <w:bCs w:val="0"/>
              <w:caps/>
              <w:sz w:val="28"/>
            </w:rPr>
          </w:pPr>
          <w:r>
            <w:rPr>
              <w:b/>
              <w:bCs w:val="0"/>
              <w:caps/>
            </w:rPr>
            <w:t>General terms and conditions</w:t>
          </w:r>
        </w:p>
      </w:tc>
      <w:tc>
        <w:tcPr>
          <w:tcW w:w="2107" w:type="dxa"/>
          <w:gridSpan w:val="2"/>
          <w:tcBorders>
            <w:top w:val="single" w:sz="4" w:space="0" w:color="auto"/>
            <w:left w:val="single" w:sz="8" w:space="0" w:color="auto"/>
            <w:bottom w:val="nil"/>
            <w:right w:val="single" w:sz="4" w:space="0" w:color="auto"/>
          </w:tcBorders>
          <w:vAlign w:val="center"/>
        </w:tcPr>
        <w:p w14:paraId="7FB72948" w14:textId="77777777" w:rsidR="00C246FF" w:rsidRDefault="00C246FF" w:rsidP="004F6C92">
          <w:pPr>
            <w:pStyle w:val="Kopfzeile"/>
            <w:jc w:val="center"/>
            <w:rPr>
              <w:sz w:val="16"/>
            </w:rPr>
          </w:pPr>
          <w:proofErr w:type="spellStart"/>
          <w:r>
            <w:rPr>
              <w:sz w:val="16"/>
            </w:rPr>
            <w:t>Document</w:t>
          </w:r>
          <w:proofErr w:type="spellEnd"/>
          <w:r>
            <w:rPr>
              <w:sz w:val="16"/>
            </w:rPr>
            <w:t xml:space="preserve"> </w:t>
          </w:r>
          <w:proofErr w:type="spellStart"/>
          <w:r>
            <w:rPr>
              <w:sz w:val="16"/>
            </w:rPr>
            <w:t>No</w:t>
          </w:r>
          <w:proofErr w:type="spellEnd"/>
          <w:r>
            <w:rPr>
              <w:sz w:val="16"/>
            </w:rPr>
            <w:t>.:</w:t>
          </w:r>
        </w:p>
      </w:tc>
    </w:tr>
    <w:tr w:rsidR="00C246FF" w14:paraId="2F861D89" w14:textId="77777777" w:rsidTr="00147ACC">
      <w:trPr>
        <w:cantSplit/>
        <w:trHeight w:hRule="exact" w:val="400"/>
      </w:trPr>
      <w:tc>
        <w:tcPr>
          <w:tcW w:w="2704" w:type="dxa"/>
          <w:vMerge/>
          <w:tcBorders>
            <w:right w:val="single" w:sz="4" w:space="0" w:color="auto"/>
          </w:tcBorders>
        </w:tcPr>
        <w:p w14:paraId="12844619" w14:textId="77777777" w:rsidR="00C246FF" w:rsidRDefault="00C246FF" w:rsidP="004F6C92"/>
      </w:tc>
      <w:tc>
        <w:tcPr>
          <w:tcW w:w="5963" w:type="dxa"/>
          <w:vMerge/>
          <w:tcBorders>
            <w:left w:val="single" w:sz="4" w:space="0" w:color="auto"/>
            <w:right w:val="single" w:sz="8" w:space="0" w:color="auto"/>
          </w:tcBorders>
        </w:tcPr>
        <w:p w14:paraId="7781F6F5" w14:textId="70C6F21A" w:rsidR="00C246FF" w:rsidRDefault="00C246FF" w:rsidP="004F6C92">
          <w:pPr>
            <w:pStyle w:val="Kopfzeile"/>
            <w:jc w:val="center"/>
          </w:pPr>
        </w:p>
      </w:tc>
      <w:tc>
        <w:tcPr>
          <w:tcW w:w="2107" w:type="dxa"/>
          <w:gridSpan w:val="2"/>
          <w:tcBorders>
            <w:top w:val="nil"/>
            <w:left w:val="single" w:sz="8" w:space="0" w:color="auto"/>
            <w:bottom w:val="single" w:sz="4" w:space="0" w:color="auto"/>
            <w:right w:val="single" w:sz="4" w:space="0" w:color="auto"/>
          </w:tcBorders>
          <w:vAlign w:val="center"/>
        </w:tcPr>
        <w:p w14:paraId="4FEC18F4" w14:textId="2A2B9B87" w:rsidR="00C246FF" w:rsidRPr="008C36EF" w:rsidRDefault="00C246FF" w:rsidP="00856A5A">
          <w:pPr>
            <w:pStyle w:val="Kopfzeile"/>
            <w:jc w:val="center"/>
            <w:rPr>
              <w:b/>
              <w:bCs w:val="0"/>
              <w:sz w:val="20"/>
              <w:szCs w:val="20"/>
            </w:rPr>
          </w:pPr>
          <w:r>
            <w:rPr>
              <w:b/>
              <w:bCs w:val="0"/>
              <w:sz w:val="20"/>
              <w:szCs w:val="20"/>
            </w:rPr>
            <w:t>FB-CO-0</w:t>
          </w:r>
          <w:r w:rsidR="00E96367">
            <w:rPr>
              <w:b/>
              <w:bCs w:val="0"/>
              <w:sz w:val="20"/>
              <w:szCs w:val="20"/>
            </w:rPr>
            <w:t>2</w:t>
          </w:r>
        </w:p>
      </w:tc>
    </w:tr>
    <w:tr w:rsidR="00C246FF" w14:paraId="5E18F50D" w14:textId="77777777" w:rsidTr="00147ACC">
      <w:trPr>
        <w:cantSplit/>
        <w:trHeight w:hRule="exact" w:val="300"/>
      </w:trPr>
      <w:tc>
        <w:tcPr>
          <w:tcW w:w="2704" w:type="dxa"/>
          <w:vMerge/>
          <w:tcBorders>
            <w:right w:val="single" w:sz="4" w:space="0" w:color="auto"/>
          </w:tcBorders>
        </w:tcPr>
        <w:p w14:paraId="4727E2E4" w14:textId="77777777" w:rsidR="00C246FF" w:rsidRDefault="00C246FF" w:rsidP="004F6C92"/>
      </w:tc>
      <w:tc>
        <w:tcPr>
          <w:tcW w:w="5963" w:type="dxa"/>
          <w:vMerge/>
          <w:tcBorders>
            <w:left w:val="single" w:sz="4" w:space="0" w:color="auto"/>
            <w:right w:val="single" w:sz="8" w:space="0" w:color="auto"/>
          </w:tcBorders>
          <w:vAlign w:val="center"/>
        </w:tcPr>
        <w:p w14:paraId="603821AA" w14:textId="241C93E3" w:rsidR="00C246FF" w:rsidRDefault="00C246FF" w:rsidP="004F6C92">
          <w:pPr>
            <w:pStyle w:val="Kopfzeile"/>
            <w:jc w:val="center"/>
            <w:rPr>
              <w:b/>
              <w:bCs w:val="0"/>
              <w:caps/>
            </w:rPr>
          </w:pPr>
        </w:p>
      </w:tc>
      <w:tc>
        <w:tcPr>
          <w:tcW w:w="1134" w:type="dxa"/>
          <w:tcBorders>
            <w:left w:val="single" w:sz="8" w:space="0" w:color="auto"/>
            <w:bottom w:val="single" w:sz="4" w:space="0" w:color="auto"/>
            <w:right w:val="nil"/>
          </w:tcBorders>
          <w:vAlign w:val="center"/>
        </w:tcPr>
        <w:p w14:paraId="6470529E" w14:textId="77777777" w:rsidR="00C246FF" w:rsidRDefault="00C246FF" w:rsidP="004F6C92">
          <w:pPr>
            <w:pStyle w:val="Kopfzeile"/>
            <w:jc w:val="right"/>
            <w:rPr>
              <w:sz w:val="16"/>
            </w:rPr>
          </w:pPr>
          <w:r>
            <w:rPr>
              <w:sz w:val="16"/>
            </w:rPr>
            <w:t>Rev.- Status:</w:t>
          </w:r>
        </w:p>
      </w:tc>
      <w:tc>
        <w:tcPr>
          <w:tcW w:w="973" w:type="dxa"/>
          <w:tcBorders>
            <w:left w:val="nil"/>
            <w:bottom w:val="single" w:sz="4" w:space="0" w:color="auto"/>
            <w:right w:val="single" w:sz="4" w:space="0" w:color="auto"/>
          </w:tcBorders>
          <w:vAlign w:val="center"/>
        </w:tcPr>
        <w:p w14:paraId="441E6BC3" w14:textId="58711027" w:rsidR="00C246FF" w:rsidRDefault="00BB4C43" w:rsidP="00331399">
          <w:pPr>
            <w:pStyle w:val="Kopfzeile"/>
            <w:jc w:val="center"/>
            <w:rPr>
              <w:b/>
              <w:bCs w:val="0"/>
            </w:rPr>
          </w:pPr>
          <w:r>
            <w:rPr>
              <w:b/>
              <w:bCs w:val="0"/>
            </w:rPr>
            <w:t>1</w:t>
          </w:r>
          <w:r w:rsidR="00417DFB">
            <w:rPr>
              <w:b/>
              <w:bCs w:val="0"/>
            </w:rPr>
            <w:t>6</w:t>
          </w:r>
        </w:p>
      </w:tc>
    </w:tr>
    <w:tr w:rsidR="00C246FF" w14:paraId="54BA11A9" w14:textId="77777777" w:rsidTr="00147ACC">
      <w:trPr>
        <w:cantSplit/>
        <w:trHeight w:hRule="exact" w:val="300"/>
      </w:trPr>
      <w:tc>
        <w:tcPr>
          <w:tcW w:w="2704" w:type="dxa"/>
          <w:vMerge/>
          <w:tcBorders>
            <w:bottom w:val="single" w:sz="4" w:space="0" w:color="auto"/>
            <w:right w:val="single" w:sz="4" w:space="0" w:color="auto"/>
          </w:tcBorders>
        </w:tcPr>
        <w:p w14:paraId="7E7DCC0F" w14:textId="77777777" w:rsidR="00C246FF" w:rsidRDefault="00C246FF" w:rsidP="004F6C92"/>
      </w:tc>
      <w:tc>
        <w:tcPr>
          <w:tcW w:w="5963" w:type="dxa"/>
          <w:vMerge/>
          <w:tcBorders>
            <w:left w:val="single" w:sz="4" w:space="0" w:color="auto"/>
            <w:bottom w:val="single" w:sz="4" w:space="0" w:color="auto"/>
            <w:right w:val="single" w:sz="8" w:space="0" w:color="auto"/>
          </w:tcBorders>
        </w:tcPr>
        <w:p w14:paraId="3B0A6192" w14:textId="77777777" w:rsidR="00C246FF" w:rsidRDefault="00C246FF" w:rsidP="004F6C92"/>
      </w:tc>
      <w:tc>
        <w:tcPr>
          <w:tcW w:w="1134" w:type="dxa"/>
          <w:tcBorders>
            <w:left w:val="single" w:sz="8" w:space="0" w:color="auto"/>
            <w:bottom w:val="single" w:sz="4" w:space="0" w:color="auto"/>
            <w:right w:val="nil"/>
          </w:tcBorders>
          <w:vAlign w:val="center"/>
        </w:tcPr>
        <w:p w14:paraId="184DFD47" w14:textId="77777777" w:rsidR="00C246FF" w:rsidRDefault="00C246FF" w:rsidP="004F6C92">
          <w:pPr>
            <w:pStyle w:val="Kopfzeile"/>
            <w:jc w:val="right"/>
            <w:rPr>
              <w:sz w:val="16"/>
            </w:rPr>
          </w:pPr>
          <w:r>
            <w:rPr>
              <w:sz w:val="16"/>
            </w:rPr>
            <w:t>Page:</w:t>
          </w:r>
        </w:p>
      </w:tc>
      <w:tc>
        <w:tcPr>
          <w:tcW w:w="973" w:type="dxa"/>
          <w:tcBorders>
            <w:left w:val="nil"/>
            <w:bottom w:val="single" w:sz="4" w:space="0" w:color="auto"/>
            <w:right w:val="single" w:sz="4" w:space="0" w:color="auto"/>
          </w:tcBorders>
          <w:vAlign w:val="center"/>
        </w:tcPr>
        <w:p w14:paraId="02FA3B1A" w14:textId="77777777" w:rsidR="00C246FF" w:rsidRPr="00417DFB" w:rsidRDefault="00C246FF" w:rsidP="004F6C92">
          <w:pPr>
            <w:pStyle w:val="Kopfzeile"/>
            <w:jc w:val="center"/>
            <w:rPr>
              <w:b/>
              <w:bCs w:val="0"/>
            </w:rPr>
          </w:pPr>
          <w:r w:rsidRPr="00417DFB">
            <w:rPr>
              <w:rStyle w:val="Seitenzahl"/>
              <w:rFonts w:ascii="Arial" w:hAnsi="Arial"/>
            </w:rPr>
            <w:fldChar w:fldCharType="begin"/>
          </w:r>
          <w:r w:rsidRPr="00417DFB">
            <w:rPr>
              <w:rStyle w:val="Seitenzahl"/>
              <w:rFonts w:ascii="Arial" w:hAnsi="Arial"/>
              <w:noProof/>
            </w:rPr>
            <w:instrText xml:space="preserve"> PAGE </w:instrText>
          </w:r>
          <w:r w:rsidRPr="00417DFB">
            <w:fldChar w:fldCharType="separate"/>
          </w:r>
          <w:r w:rsidRPr="00417DFB">
            <w:rPr>
              <w:rStyle w:val="Seitenzahl"/>
              <w:rFonts w:ascii="Arial" w:hAnsi="Arial"/>
              <w:noProof/>
            </w:rPr>
            <w:t>2</w:t>
          </w:r>
          <w:r w:rsidRPr="00417DFB">
            <w:fldChar w:fldCharType="end"/>
          </w:r>
          <w:r w:rsidRPr="00417DFB">
            <w:rPr>
              <w:rStyle w:val="Seitenzahl"/>
              <w:rFonts w:ascii="Arial" w:hAnsi="Arial"/>
            </w:rPr>
            <w:t xml:space="preserve"> </w:t>
          </w:r>
          <w:proofErr w:type="spellStart"/>
          <w:r w:rsidRPr="00417DFB">
            <w:rPr>
              <w:rStyle w:val="Seitenzahl"/>
              <w:rFonts w:ascii="Arial" w:hAnsi="Arial"/>
            </w:rPr>
            <w:t>of</w:t>
          </w:r>
          <w:proofErr w:type="spellEnd"/>
          <w:r w:rsidRPr="00417DFB">
            <w:rPr>
              <w:rStyle w:val="Seitenzahl"/>
              <w:rFonts w:ascii="Arial" w:hAnsi="Arial"/>
            </w:rPr>
            <w:t xml:space="preserve"> </w:t>
          </w:r>
          <w:r w:rsidRPr="00417DFB">
            <w:rPr>
              <w:rStyle w:val="Seitenzahl"/>
              <w:rFonts w:ascii="Arial" w:hAnsi="Arial"/>
            </w:rPr>
            <w:fldChar w:fldCharType="begin"/>
          </w:r>
          <w:r w:rsidRPr="00417DFB">
            <w:rPr>
              <w:rStyle w:val="Seitenzahl"/>
              <w:rFonts w:ascii="Arial" w:hAnsi="Arial"/>
              <w:noProof/>
            </w:rPr>
            <w:instrText xml:space="preserve"> NUMPAGES </w:instrText>
          </w:r>
          <w:r w:rsidRPr="00417DFB">
            <w:fldChar w:fldCharType="separate"/>
          </w:r>
          <w:r w:rsidRPr="00417DFB">
            <w:rPr>
              <w:rStyle w:val="Seitenzahl"/>
              <w:rFonts w:ascii="Arial" w:hAnsi="Arial"/>
              <w:noProof/>
            </w:rPr>
            <w:t>4</w:t>
          </w:r>
          <w:r w:rsidRPr="00417DFB">
            <w:fldChar w:fldCharType="end"/>
          </w:r>
        </w:p>
      </w:tc>
    </w:tr>
  </w:tbl>
  <w:p w14:paraId="0144699A" w14:textId="7D36F73F" w:rsidR="00A45589" w:rsidRPr="009146F7" w:rsidRDefault="00A45589" w:rsidP="00DC00FA">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0"/>
      <w:gridCol w:w="754"/>
      <w:gridCol w:w="5209"/>
      <w:gridCol w:w="1134"/>
      <w:gridCol w:w="964"/>
    </w:tblGrid>
    <w:tr w:rsidR="00A45589" w14:paraId="3D6CF9D3" w14:textId="77777777">
      <w:trPr>
        <w:cantSplit/>
        <w:trHeight w:hRule="exact" w:val="160"/>
      </w:trPr>
      <w:tc>
        <w:tcPr>
          <w:tcW w:w="2420" w:type="dxa"/>
          <w:vMerge w:val="restart"/>
          <w:tcBorders>
            <w:top w:val="single" w:sz="4" w:space="0" w:color="auto"/>
            <w:right w:val="single" w:sz="8" w:space="0" w:color="auto"/>
          </w:tcBorders>
          <w:vAlign w:val="center"/>
        </w:tcPr>
        <w:p w14:paraId="4CC37D46" w14:textId="77777777" w:rsidR="00A45589" w:rsidRDefault="00A45589" w:rsidP="004F6C92">
          <w:pPr>
            <w:jc w:val="center"/>
          </w:pPr>
          <w:r>
            <w:rPr>
              <w:noProof/>
            </w:rPr>
            <w:drawing>
              <wp:inline distT="0" distB="0" distL="0" distR="0" wp14:anchorId="15193C14" wp14:editId="04228770">
                <wp:extent cx="1447800" cy="542925"/>
                <wp:effectExtent l="0" t="0" r="0" b="9525"/>
                <wp:docPr id="3" name="Bild 3" descr="RENF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F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42925"/>
                        </a:xfrm>
                        <a:prstGeom prst="rect">
                          <a:avLst/>
                        </a:prstGeom>
                        <a:noFill/>
                        <a:ln>
                          <a:noFill/>
                        </a:ln>
                      </pic:spPr>
                    </pic:pic>
                  </a:graphicData>
                </a:graphic>
              </wp:inline>
            </w:drawing>
          </w:r>
        </w:p>
      </w:tc>
      <w:tc>
        <w:tcPr>
          <w:tcW w:w="5963" w:type="dxa"/>
          <w:gridSpan w:val="2"/>
          <w:vMerge w:val="restart"/>
          <w:tcBorders>
            <w:top w:val="single" w:sz="4" w:space="0" w:color="auto"/>
            <w:left w:val="single" w:sz="8" w:space="0" w:color="auto"/>
            <w:right w:val="single" w:sz="8" w:space="0" w:color="auto"/>
          </w:tcBorders>
          <w:vAlign w:val="center"/>
        </w:tcPr>
        <w:p w14:paraId="02A9CE22" w14:textId="77777777" w:rsidR="00A45589" w:rsidRDefault="00A45589" w:rsidP="004F6C92">
          <w:pPr>
            <w:pStyle w:val="Kopfzeile"/>
            <w:jc w:val="center"/>
            <w:rPr>
              <w:b/>
              <w:bCs w:val="0"/>
              <w:caps/>
              <w:sz w:val="28"/>
            </w:rPr>
          </w:pPr>
          <w:r>
            <w:rPr>
              <w:b/>
              <w:bCs w:val="0"/>
              <w:caps/>
              <w:sz w:val="28"/>
            </w:rPr>
            <w:fldChar w:fldCharType="begin"/>
          </w:r>
          <w:r>
            <w:rPr>
              <w:b/>
              <w:bCs w:val="0"/>
              <w:caps/>
              <w:sz w:val="28"/>
            </w:rPr>
            <w:instrText xml:space="preserve"> TITLE   \* MERGEFORMAT </w:instrText>
          </w:r>
          <w:r>
            <w:rPr>
              <w:b/>
              <w:bCs w:val="0"/>
              <w:caps/>
              <w:sz w:val="28"/>
            </w:rPr>
            <w:fldChar w:fldCharType="end"/>
          </w:r>
        </w:p>
      </w:tc>
      <w:tc>
        <w:tcPr>
          <w:tcW w:w="2098" w:type="dxa"/>
          <w:gridSpan w:val="2"/>
          <w:tcBorders>
            <w:top w:val="single" w:sz="4" w:space="0" w:color="auto"/>
            <w:left w:val="single" w:sz="8" w:space="0" w:color="auto"/>
            <w:bottom w:val="nil"/>
            <w:right w:val="single" w:sz="4" w:space="0" w:color="auto"/>
          </w:tcBorders>
          <w:vAlign w:val="center"/>
        </w:tcPr>
        <w:p w14:paraId="4755B0D0" w14:textId="77777777" w:rsidR="00A45589" w:rsidRDefault="00A45589" w:rsidP="004F6C92">
          <w:pPr>
            <w:pStyle w:val="Kopfzeile"/>
            <w:jc w:val="center"/>
            <w:rPr>
              <w:sz w:val="16"/>
            </w:rPr>
          </w:pPr>
          <w:r>
            <w:rPr>
              <w:sz w:val="16"/>
            </w:rPr>
            <w:t>Dokument Nr.:</w:t>
          </w:r>
        </w:p>
      </w:tc>
    </w:tr>
    <w:tr w:rsidR="00A45589" w14:paraId="20FAE9CF" w14:textId="77777777">
      <w:trPr>
        <w:cantSplit/>
        <w:trHeight w:hRule="exact" w:val="400"/>
      </w:trPr>
      <w:tc>
        <w:tcPr>
          <w:tcW w:w="2420" w:type="dxa"/>
          <w:vMerge/>
          <w:tcBorders>
            <w:right w:val="single" w:sz="8" w:space="0" w:color="auto"/>
          </w:tcBorders>
        </w:tcPr>
        <w:p w14:paraId="18B8F177" w14:textId="77777777" w:rsidR="00A45589" w:rsidRDefault="00A45589" w:rsidP="004F6C92"/>
      </w:tc>
      <w:tc>
        <w:tcPr>
          <w:tcW w:w="5963" w:type="dxa"/>
          <w:gridSpan w:val="2"/>
          <w:vMerge/>
          <w:tcBorders>
            <w:left w:val="single" w:sz="8" w:space="0" w:color="auto"/>
            <w:bottom w:val="single" w:sz="4" w:space="0" w:color="auto"/>
            <w:right w:val="single" w:sz="8" w:space="0" w:color="auto"/>
          </w:tcBorders>
        </w:tcPr>
        <w:p w14:paraId="0A142598" w14:textId="77777777" w:rsidR="00A45589" w:rsidRDefault="00A45589" w:rsidP="004F6C92"/>
      </w:tc>
      <w:tc>
        <w:tcPr>
          <w:tcW w:w="2098" w:type="dxa"/>
          <w:gridSpan w:val="2"/>
          <w:tcBorders>
            <w:top w:val="nil"/>
            <w:left w:val="single" w:sz="8" w:space="0" w:color="auto"/>
            <w:bottom w:val="single" w:sz="4" w:space="0" w:color="auto"/>
            <w:right w:val="single" w:sz="4" w:space="0" w:color="auto"/>
          </w:tcBorders>
          <w:vAlign w:val="center"/>
        </w:tcPr>
        <w:p w14:paraId="41F2F702" w14:textId="77777777" w:rsidR="00A45589" w:rsidRDefault="00A45589" w:rsidP="004F6C92">
          <w:pPr>
            <w:pStyle w:val="Kopfzeile"/>
            <w:jc w:val="center"/>
            <w:rPr>
              <w:b/>
              <w:bCs w:val="0"/>
            </w:rPr>
          </w:pPr>
        </w:p>
      </w:tc>
    </w:tr>
    <w:tr w:rsidR="00A45589" w14:paraId="3765442E" w14:textId="77777777">
      <w:trPr>
        <w:cantSplit/>
        <w:trHeight w:hRule="exact" w:val="300"/>
      </w:trPr>
      <w:tc>
        <w:tcPr>
          <w:tcW w:w="2420" w:type="dxa"/>
          <w:vMerge/>
          <w:tcBorders>
            <w:right w:val="single" w:sz="8" w:space="0" w:color="auto"/>
          </w:tcBorders>
        </w:tcPr>
        <w:p w14:paraId="54E87B1F" w14:textId="77777777" w:rsidR="00A45589" w:rsidRDefault="00A45589" w:rsidP="004F6C92"/>
      </w:tc>
      <w:tc>
        <w:tcPr>
          <w:tcW w:w="754" w:type="dxa"/>
          <w:vMerge w:val="restart"/>
          <w:tcBorders>
            <w:left w:val="single" w:sz="8" w:space="0" w:color="auto"/>
            <w:bottom w:val="nil"/>
            <w:right w:val="nil"/>
          </w:tcBorders>
          <w:shd w:val="clear" w:color="auto" w:fill="auto"/>
          <w:vAlign w:val="center"/>
        </w:tcPr>
        <w:p w14:paraId="75C834B1" w14:textId="77777777" w:rsidR="00A45589" w:rsidRDefault="00A45589" w:rsidP="004F6C92">
          <w:pPr>
            <w:pStyle w:val="Kopfzeile"/>
            <w:jc w:val="center"/>
            <w:rPr>
              <w:b/>
              <w:bCs w:val="0"/>
              <w:caps/>
            </w:rPr>
          </w:pPr>
        </w:p>
      </w:tc>
      <w:tc>
        <w:tcPr>
          <w:tcW w:w="5209" w:type="dxa"/>
          <w:vMerge w:val="restart"/>
          <w:tcBorders>
            <w:left w:val="nil"/>
            <w:bottom w:val="nil"/>
            <w:right w:val="single" w:sz="8" w:space="0" w:color="auto"/>
          </w:tcBorders>
          <w:vAlign w:val="center"/>
        </w:tcPr>
        <w:p w14:paraId="1C9A61BD" w14:textId="77777777" w:rsidR="00A45589" w:rsidRDefault="00A45589" w:rsidP="004F6C92">
          <w:pPr>
            <w:pStyle w:val="Kopfzeile"/>
            <w:jc w:val="center"/>
            <w:rPr>
              <w:b/>
              <w:bCs w:val="0"/>
              <w:caps/>
            </w:rPr>
          </w:pPr>
          <w:r>
            <w:rPr>
              <w:b/>
              <w:bCs w:val="0"/>
              <w:caps/>
            </w:rPr>
            <w:fldChar w:fldCharType="begin"/>
          </w:r>
          <w:r>
            <w:rPr>
              <w:b/>
              <w:bCs w:val="0"/>
              <w:caps/>
            </w:rPr>
            <w:instrText xml:space="preserve"> SUBJECT  \* MERGEFORMAT </w:instrText>
          </w:r>
          <w:r>
            <w:rPr>
              <w:b/>
              <w:bCs w:val="0"/>
              <w:caps/>
            </w:rPr>
            <w:fldChar w:fldCharType="separate"/>
          </w:r>
          <w:r w:rsidR="00B50E2B">
            <w:rPr>
              <w:b/>
              <w:bCs w:val="0"/>
              <w:caps/>
            </w:rPr>
            <w:t>ALLGEMEINE GESCHÄFTSBEDINGUNGEN</w:t>
          </w:r>
          <w:r>
            <w:rPr>
              <w:b/>
              <w:bCs w:val="0"/>
              <w:caps/>
            </w:rPr>
            <w:fldChar w:fldCharType="end"/>
          </w:r>
        </w:p>
      </w:tc>
      <w:tc>
        <w:tcPr>
          <w:tcW w:w="1134" w:type="dxa"/>
          <w:tcBorders>
            <w:left w:val="single" w:sz="8" w:space="0" w:color="auto"/>
            <w:bottom w:val="single" w:sz="4" w:space="0" w:color="auto"/>
            <w:right w:val="nil"/>
          </w:tcBorders>
          <w:vAlign w:val="center"/>
        </w:tcPr>
        <w:p w14:paraId="69A457D0" w14:textId="77777777" w:rsidR="00A45589" w:rsidRDefault="00A45589" w:rsidP="004F6C92">
          <w:pPr>
            <w:pStyle w:val="Kopfzeile"/>
            <w:jc w:val="right"/>
            <w:rPr>
              <w:sz w:val="16"/>
            </w:rPr>
          </w:pPr>
          <w:r>
            <w:rPr>
              <w:sz w:val="16"/>
            </w:rPr>
            <w:t>Rev.</w:t>
          </w:r>
          <w:smartTag w:uri="urn:schemas-microsoft-com:office:smarttags" w:element="PersonName">
            <w:r>
              <w:rPr>
                <w:sz w:val="16"/>
              </w:rPr>
              <w:t>-</w:t>
            </w:r>
          </w:smartTag>
          <w:r>
            <w:rPr>
              <w:sz w:val="16"/>
            </w:rPr>
            <w:t xml:space="preserve"> Stand:</w:t>
          </w:r>
        </w:p>
      </w:tc>
      <w:tc>
        <w:tcPr>
          <w:tcW w:w="964" w:type="dxa"/>
          <w:tcBorders>
            <w:left w:val="nil"/>
            <w:bottom w:val="single" w:sz="4" w:space="0" w:color="auto"/>
            <w:right w:val="single" w:sz="4" w:space="0" w:color="auto"/>
          </w:tcBorders>
          <w:vAlign w:val="center"/>
        </w:tcPr>
        <w:p w14:paraId="60C9C3B1" w14:textId="77777777" w:rsidR="00A45589" w:rsidRDefault="00A45589" w:rsidP="004F6C92">
          <w:pPr>
            <w:pStyle w:val="Kopfzeile"/>
            <w:jc w:val="center"/>
            <w:rPr>
              <w:b/>
              <w:bCs w:val="0"/>
            </w:rPr>
          </w:pPr>
        </w:p>
      </w:tc>
    </w:tr>
    <w:tr w:rsidR="00A45589" w14:paraId="4F5145A3" w14:textId="77777777">
      <w:trPr>
        <w:cantSplit/>
        <w:trHeight w:hRule="exact" w:val="300"/>
      </w:trPr>
      <w:tc>
        <w:tcPr>
          <w:tcW w:w="2420" w:type="dxa"/>
          <w:vMerge/>
          <w:tcBorders>
            <w:bottom w:val="nil"/>
            <w:right w:val="single" w:sz="8" w:space="0" w:color="auto"/>
          </w:tcBorders>
        </w:tcPr>
        <w:p w14:paraId="42F55B3F" w14:textId="77777777" w:rsidR="00A45589" w:rsidRDefault="00A45589" w:rsidP="004F6C92"/>
      </w:tc>
      <w:tc>
        <w:tcPr>
          <w:tcW w:w="754" w:type="dxa"/>
          <w:vMerge/>
          <w:tcBorders>
            <w:top w:val="nil"/>
            <w:left w:val="single" w:sz="8" w:space="0" w:color="auto"/>
            <w:bottom w:val="nil"/>
            <w:right w:val="nil"/>
          </w:tcBorders>
          <w:shd w:val="clear" w:color="auto" w:fill="auto"/>
        </w:tcPr>
        <w:p w14:paraId="59BA651D" w14:textId="77777777" w:rsidR="00A45589" w:rsidRDefault="00A45589" w:rsidP="004F6C92"/>
      </w:tc>
      <w:tc>
        <w:tcPr>
          <w:tcW w:w="5209" w:type="dxa"/>
          <w:vMerge/>
          <w:tcBorders>
            <w:top w:val="nil"/>
            <w:left w:val="nil"/>
            <w:bottom w:val="nil"/>
            <w:right w:val="single" w:sz="8" w:space="0" w:color="auto"/>
          </w:tcBorders>
        </w:tcPr>
        <w:p w14:paraId="5EC5F295" w14:textId="77777777" w:rsidR="00A45589" w:rsidRDefault="00A45589" w:rsidP="004F6C92"/>
      </w:tc>
      <w:tc>
        <w:tcPr>
          <w:tcW w:w="1134" w:type="dxa"/>
          <w:tcBorders>
            <w:left w:val="single" w:sz="8" w:space="0" w:color="auto"/>
            <w:bottom w:val="nil"/>
            <w:right w:val="nil"/>
          </w:tcBorders>
          <w:vAlign w:val="center"/>
        </w:tcPr>
        <w:p w14:paraId="6AF8314B" w14:textId="77777777" w:rsidR="00A45589" w:rsidRDefault="00A45589" w:rsidP="004F6C92">
          <w:pPr>
            <w:pStyle w:val="Kopfzeile"/>
            <w:jc w:val="right"/>
            <w:rPr>
              <w:sz w:val="16"/>
            </w:rPr>
          </w:pPr>
          <w:r>
            <w:rPr>
              <w:sz w:val="16"/>
            </w:rPr>
            <w:t>Seite:</w:t>
          </w:r>
        </w:p>
      </w:tc>
      <w:tc>
        <w:tcPr>
          <w:tcW w:w="964" w:type="dxa"/>
          <w:tcBorders>
            <w:left w:val="nil"/>
            <w:bottom w:val="nil"/>
            <w:right w:val="single" w:sz="4" w:space="0" w:color="auto"/>
          </w:tcBorders>
          <w:vAlign w:val="center"/>
        </w:tcPr>
        <w:p w14:paraId="4E87EB0E" w14:textId="77777777" w:rsidR="00A45589" w:rsidRDefault="00A45589" w:rsidP="004F6C92">
          <w:pPr>
            <w:pStyle w:val="Kopfzeile"/>
            <w:jc w:val="center"/>
            <w:rPr>
              <w:b/>
              <w:bCs w:val="0"/>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50E2B">
            <w:rPr>
              <w:rStyle w:val="Seitenzahl"/>
              <w:noProof/>
            </w:rPr>
            <w:t>4</w:t>
          </w:r>
          <w:r>
            <w:rPr>
              <w:rStyle w:val="Seitenzahl"/>
            </w:rPr>
            <w:fldChar w:fldCharType="end"/>
          </w:r>
        </w:p>
      </w:tc>
    </w:tr>
  </w:tbl>
  <w:p w14:paraId="7BE957FA" w14:textId="77777777" w:rsidR="00A45589" w:rsidRDefault="00A45589" w:rsidP="003D38AD">
    <w:r>
      <w:rPr>
        <w:noProof/>
      </w:rPr>
      <mc:AlternateContent>
        <mc:Choice Requires="wps">
          <w:drawing>
            <wp:anchor distT="0" distB="0" distL="114300" distR="114300" simplePos="0" relativeHeight="251657216" behindDoc="1" locked="1" layoutInCell="1" allowOverlap="1" wp14:anchorId="3BB281B2" wp14:editId="4A26515F">
              <wp:simplePos x="0" y="0"/>
              <wp:positionH relativeFrom="column">
                <wp:posOffset>-3175</wp:posOffset>
              </wp:positionH>
              <wp:positionV relativeFrom="paragraph">
                <wp:posOffset>0</wp:posOffset>
              </wp:positionV>
              <wp:extent cx="6661785" cy="8926830"/>
              <wp:effectExtent l="6350" t="9525" r="889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785" cy="8926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97110" id="Rectangle 1" o:spid="_x0000_s1026" style="position:absolute;margin-left:-.25pt;margin-top:0;width:524.55pt;height:70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&#1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1BCD"/>
    <w:multiLevelType w:val="multilevel"/>
    <w:tmpl w:val="B46AF112"/>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A547329"/>
    <w:multiLevelType w:val="hybridMultilevel"/>
    <w:tmpl w:val="8CA871D8"/>
    <w:lvl w:ilvl="0" w:tplc="1DDE50DE">
      <w:start w:val="1"/>
      <w:numFmt w:val="bullet"/>
      <w:lvlText w:val="o"/>
      <w:lvlJc w:val="left"/>
      <w:pPr>
        <w:tabs>
          <w:tab w:val="num" w:pos="1701"/>
        </w:tabs>
        <w:ind w:left="1985" w:hanging="567"/>
      </w:pPr>
      <w:rPr>
        <w:rFonts w:ascii="Courier New" w:hAnsi="Courier New" w:hint="default"/>
        <w:color w:val="auto"/>
      </w:rPr>
    </w:lvl>
    <w:lvl w:ilvl="1" w:tplc="04070003">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BC413DD"/>
    <w:multiLevelType w:val="hybridMultilevel"/>
    <w:tmpl w:val="7FD6C7CE"/>
    <w:lvl w:ilvl="0" w:tplc="BC78D6C0">
      <w:start w:val="1"/>
      <w:numFmt w:val="bullet"/>
      <w:lvlText w:val=""/>
      <w:lvlJc w:val="left"/>
      <w:pPr>
        <w:tabs>
          <w:tab w:val="num" w:pos="360"/>
        </w:tabs>
        <w:ind w:left="360" w:hanging="360"/>
      </w:pPr>
      <w:rPr>
        <w:rFonts w:ascii="Wingdings" w:hAnsi="Wingdings" w:hint="default"/>
        <w:color w:val="0000FF"/>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D1755"/>
    <w:multiLevelType w:val="hybridMultilevel"/>
    <w:tmpl w:val="B91845DA"/>
    <w:lvl w:ilvl="0" w:tplc="D70A3474">
      <w:start w:val="1"/>
      <w:numFmt w:val="bullet"/>
      <w:lvlText w:val=""/>
      <w:lvlJc w:val="left"/>
      <w:pPr>
        <w:tabs>
          <w:tab w:val="num" w:pos="1701"/>
        </w:tabs>
        <w:ind w:left="1985" w:hanging="567"/>
      </w:pPr>
      <w:rPr>
        <w:rFonts w:ascii="Symbol" w:hAnsi="Symbol" w:hint="default"/>
        <w:color w:val="auto"/>
      </w:rPr>
    </w:lvl>
    <w:lvl w:ilvl="1" w:tplc="04070003">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2BFE5CB3"/>
    <w:multiLevelType w:val="hybridMultilevel"/>
    <w:tmpl w:val="0BB45990"/>
    <w:lvl w:ilvl="0" w:tplc="27A446D2">
      <w:start w:val="1"/>
      <w:numFmt w:val="bullet"/>
      <w:lvlText w:val="o"/>
      <w:lvlJc w:val="left"/>
      <w:pPr>
        <w:tabs>
          <w:tab w:val="num" w:pos="1701"/>
        </w:tabs>
        <w:ind w:left="1985" w:hanging="567"/>
      </w:pPr>
      <w:rPr>
        <w:rFonts w:ascii="Courier New" w:hAnsi="Courier New" w:hint="default"/>
        <w:color w:val="auto"/>
      </w:rPr>
    </w:lvl>
    <w:lvl w:ilvl="1" w:tplc="04070003">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31D72F48"/>
    <w:multiLevelType w:val="multilevel"/>
    <w:tmpl w:val="B91845DA"/>
    <w:lvl w:ilvl="0">
      <w:start w:val="1"/>
      <w:numFmt w:val="bullet"/>
      <w:lvlText w:val=""/>
      <w:lvlJc w:val="left"/>
      <w:pPr>
        <w:tabs>
          <w:tab w:val="num" w:pos="1701"/>
        </w:tabs>
        <w:ind w:left="1985" w:hanging="567"/>
      </w:pPr>
      <w:rPr>
        <w:rFonts w:ascii="Symbol" w:hAnsi="Symbol" w:hint="default"/>
        <w:color w:val="auto"/>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3794698A"/>
    <w:multiLevelType w:val="hybridMultilevel"/>
    <w:tmpl w:val="43E4EF54"/>
    <w:lvl w:ilvl="0" w:tplc="FDF8C0B6">
      <w:start w:val="1"/>
      <w:numFmt w:val="bullet"/>
      <w:lvlText w:val=""/>
      <w:lvlJc w:val="left"/>
      <w:pPr>
        <w:tabs>
          <w:tab w:val="num" w:pos="510"/>
        </w:tabs>
        <w:ind w:left="510" w:hanging="170"/>
      </w:pPr>
      <w:rPr>
        <w:rFonts w:ascii="Symbol" w:hAnsi="Symbol" w:hint="default"/>
      </w:rPr>
    </w:lvl>
    <w:lvl w:ilvl="1" w:tplc="04070003" w:tentative="1">
      <w:start w:val="1"/>
      <w:numFmt w:val="bullet"/>
      <w:lvlText w:val="o"/>
      <w:lvlJc w:val="left"/>
      <w:pPr>
        <w:tabs>
          <w:tab w:val="num" w:pos="2125"/>
        </w:tabs>
        <w:ind w:left="2125" w:hanging="360"/>
      </w:pPr>
      <w:rPr>
        <w:rFonts w:ascii="Courier New" w:hAnsi="Courier New" w:hint="default"/>
      </w:rPr>
    </w:lvl>
    <w:lvl w:ilvl="2" w:tplc="04070005" w:tentative="1">
      <w:start w:val="1"/>
      <w:numFmt w:val="bullet"/>
      <w:lvlText w:val=""/>
      <w:lvlJc w:val="left"/>
      <w:pPr>
        <w:tabs>
          <w:tab w:val="num" w:pos="2845"/>
        </w:tabs>
        <w:ind w:left="2845" w:hanging="360"/>
      </w:pPr>
      <w:rPr>
        <w:rFonts w:ascii="Wingdings" w:hAnsi="Wingdings" w:hint="default"/>
      </w:rPr>
    </w:lvl>
    <w:lvl w:ilvl="3" w:tplc="04070001" w:tentative="1">
      <w:start w:val="1"/>
      <w:numFmt w:val="bullet"/>
      <w:lvlText w:val=""/>
      <w:lvlJc w:val="left"/>
      <w:pPr>
        <w:tabs>
          <w:tab w:val="num" w:pos="3565"/>
        </w:tabs>
        <w:ind w:left="3565" w:hanging="360"/>
      </w:pPr>
      <w:rPr>
        <w:rFonts w:ascii="Symbol" w:hAnsi="Symbol" w:hint="default"/>
      </w:rPr>
    </w:lvl>
    <w:lvl w:ilvl="4" w:tplc="04070003" w:tentative="1">
      <w:start w:val="1"/>
      <w:numFmt w:val="bullet"/>
      <w:lvlText w:val="o"/>
      <w:lvlJc w:val="left"/>
      <w:pPr>
        <w:tabs>
          <w:tab w:val="num" w:pos="4285"/>
        </w:tabs>
        <w:ind w:left="4285" w:hanging="360"/>
      </w:pPr>
      <w:rPr>
        <w:rFonts w:ascii="Courier New" w:hAnsi="Courier New" w:hint="default"/>
      </w:rPr>
    </w:lvl>
    <w:lvl w:ilvl="5" w:tplc="04070005" w:tentative="1">
      <w:start w:val="1"/>
      <w:numFmt w:val="bullet"/>
      <w:lvlText w:val=""/>
      <w:lvlJc w:val="left"/>
      <w:pPr>
        <w:tabs>
          <w:tab w:val="num" w:pos="5005"/>
        </w:tabs>
        <w:ind w:left="5005" w:hanging="360"/>
      </w:pPr>
      <w:rPr>
        <w:rFonts w:ascii="Wingdings" w:hAnsi="Wingdings" w:hint="default"/>
      </w:rPr>
    </w:lvl>
    <w:lvl w:ilvl="6" w:tplc="04070001" w:tentative="1">
      <w:start w:val="1"/>
      <w:numFmt w:val="bullet"/>
      <w:lvlText w:val=""/>
      <w:lvlJc w:val="left"/>
      <w:pPr>
        <w:tabs>
          <w:tab w:val="num" w:pos="5725"/>
        </w:tabs>
        <w:ind w:left="5725" w:hanging="360"/>
      </w:pPr>
      <w:rPr>
        <w:rFonts w:ascii="Symbol" w:hAnsi="Symbol" w:hint="default"/>
      </w:rPr>
    </w:lvl>
    <w:lvl w:ilvl="7" w:tplc="04070003" w:tentative="1">
      <w:start w:val="1"/>
      <w:numFmt w:val="bullet"/>
      <w:lvlText w:val="o"/>
      <w:lvlJc w:val="left"/>
      <w:pPr>
        <w:tabs>
          <w:tab w:val="num" w:pos="6445"/>
        </w:tabs>
        <w:ind w:left="6445" w:hanging="360"/>
      </w:pPr>
      <w:rPr>
        <w:rFonts w:ascii="Courier New" w:hAnsi="Courier New" w:hint="default"/>
      </w:rPr>
    </w:lvl>
    <w:lvl w:ilvl="8" w:tplc="04070005" w:tentative="1">
      <w:start w:val="1"/>
      <w:numFmt w:val="bullet"/>
      <w:lvlText w:val=""/>
      <w:lvlJc w:val="left"/>
      <w:pPr>
        <w:tabs>
          <w:tab w:val="num" w:pos="7165"/>
        </w:tabs>
        <w:ind w:left="7165" w:hanging="360"/>
      </w:pPr>
      <w:rPr>
        <w:rFonts w:ascii="Wingdings" w:hAnsi="Wingdings" w:hint="default"/>
      </w:rPr>
    </w:lvl>
  </w:abstractNum>
  <w:abstractNum w:abstractNumId="7" w15:restartNumberingAfterBreak="0">
    <w:nsid w:val="3A2C78B1"/>
    <w:multiLevelType w:val="hybridMultilevel"/>
    <w:tmpl w:val="5B2872C6"/>
    <w:lvl w:ilvl="0" w:tplc="04070001">
      <w:start w:val="1"/>
      <w:numFmt w:val="bullet"/>
      <w:lvlText w:val=""/>
      <w:lvlJc w:val="left"/>
      <w:pPr>
        <w:tabs>
          <w:tab w:val="num" w:pos="1571"/>
        </w:tabs>
        <w:ind w:left="1571" w:hanging="360"/>
      </w:pPr>
      <w:rPr>
        <w:rFonts w:ascii="Symbol" w:hAnsi="Symbol" w:hint="default"/>
      </w:rPr>
    </w:lvl>
    <w:lvl w:ilvl="1" w:tplc="04070003">
      <w:start w:val="1"/>
      <w:numFmt w:val="bullet"/>
      <w:lvlText w:val="o"/>
      <w:lvlJc w:val="left"/>
      <w:pPr>
        <w:tabs>
          <w:tab w:val="num" w:pos="2291"/>
        </w:tabs>
        <w:ind w:left="2291" w:hanging="360"/>
      </w:pPr>
      <w:rPr>
        <w:rFonts w:ascii="Courier New" w:hAnsi="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3CBA69A0"/>
    <w:multiLevelType w:val="hybridMultilevel"/>
    <w:tmpl w:val="F858D456"/>
    <w:lvl w:ilvl="0" w:tplc="FDF8C0B6">
      <w:start w:val="1"/>
      <w:numFmt w:val="bullet"/>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D0301"/>
    <w:multiLevelType w:val="hybridMultilevel"/>
    <w:tmpl w:val="481E26D2"/>
    <w:lvl w:ilvl="0" w:tplc="9242591A">
      <w:start w:val="1"/>
      <w:numFmt w:val="lowerLetter"/>
      <w:lvlText w:val="(%1)"/>
      <w:lvlJc w:val="left"/>
      <w:pPr>
        <w:ind w:left="541" w:hanging="360"/>
      </w:pPr>
      <w:rPr>
        <w:rFonts w:hint="default"/>
        <w:b/>
      </w:rPr>
    </w:lvl>
    <w:lvl w:ilvl="1" w:tplc="04070019" w:tentative="1">
      <w:start w:val="1"/>
      <w:numFmt w:val="lowerLetter"/>
      <w:lvlText w:val="%2."/>
      <w:lvlJc w:val="left"/>
      <w:pPr>
        <w:ind w:left="1261" w:hanging="360"/>
      </w:pPr>
    </w:lvl>
    <w:lvl w:ilvl="2" w:tplc="0407001B" w:tentative="1">
      <w:start w:val="1"/>
      <w:numFmt w:val="lowerRoman"/>
      <w:lvlText w:val="%3."/>
      <w:lvlJc w:val="right"/>
      <w:pPr>
        <w:ind w:left="1981" w:hanging="180"/>
      </w:pPr>
    </w:lvl>
    <w:lvl w:ilvl="3" w:tplc="0407000F" w:tentative="1">
      <w:start w:val="1"/>
      <w:numFmt w:val="decimal"/>
      <w:lvlText w:val="%4."/>
      <w:lvlJc w:val="left"/>
      <w:pPr>
        <w:ind w:left="2701" w:hanging="360"/>
      </w:pPr>
    </w:lvl>
    <w:lvl w:ilvl="4" w:tplc="04070019" w:tentative="1">
      <w:start w:val="1"/>
      <w:numFmt w:val="lowerLetter"/>
      <w:lvlText w:val="%5."/>
      <w:lvlJc w:val="left"/>
      <w:pPr>
        <w:ind w:left="3421" w:hanging="360"/>
      </w:pPr>
    </w:lvl>
    <w:lvl w:ilvl="5" w:tplc="0407001B" w:tentative="1">
      <w:start w:val="1"/>
      <w:numFmt w:val="lowerRoman"/>
      <w:lvlText w:val="%6."/>
      <w:lvlJc w:val="right"/>
      <w:pPr>
        <w:ind w:left="4141" w:hanging="180"/>
      </w:pPr>
    </w:lvl>
    <w:lvl w:ilvl="6" w:tplc="0407000F" w:tentative="1">
      <w:start w:val="1"/>
      <w:numFmt w:val="decimal"/>
      <w:lvlText w:val="%7."/>
      <w:lvlJc w:val="left"/>
      <w:pPr>
        <w:ind w:left="4861" w:hanging="360"/>
      </w:pPr>
    </w:lvl>
    <w:lvl w:ilvl="7" w:tplc="04070019" w:tentative="1">
      <w:start w:val="1"/>
      <w:numFmt w:val="lowerLetter"/>
      <w:lvlText w:val="%8."/>
      <w:lvlJc w:val="left"/>
      <w:pPr>
        <w:ind w:left="5581" w:hanging="360"/>
      </w:pPr>
    </w:lvl>
    <w:lvl w:ilvl="8" w:tplc="0407001B" w:tentative="1">
      <w:start w:val="1"/>
      <w:numFmt w:val="lowerRoman"/>
      <w:lvlText w:val="%9."/>
      <w:lvlJc w:val="right"/>
      <w:pPr>
        <w:ind w:left="6301" w:hanging="180"/>
      </w:pPr>
    </w:lvl>
  </w:abstractNum>
  <w:abstractNum w:abstractNumId="10" w15:restartNumberingAfterBreak="0">
    <w:nsid w:val="578C4D81"/>
    <w:multiLevelType w:val="multilevel"/>
    <w:tmpl w:val="B91845DA"/>
    <w:lvl w:ilvl="0">
      <w:start w:val="1"/>
      <w:numFmt w:val="bullet"/>
      <w:lvlText w:val=""/>
      <w:lvlJc w:val="left"/>
      <w:pPr>
        <w:tabs>
          <w:tab w:val="num" w:pos="1701"/>
        </w:tabs>
        <w:ind w:left="1985" w:hanging="567"/>
      </w:pPr>
      <w:rPr>
        <w:rFonts w:ascii="Symbol" w:hAnsi="Symbol" w:hint="default"/>
        <w:color w:val="auto"/>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57A636B4"/>
    <w:multiLevelType w:val="hybridMultilevel"/>
    <w:tmpl w:val="9C5886E6"/>
    <w:lvl w:ilvl="0" w:tplc="D70A3474">
      <w:start w:val="1"/>
      <w:numFmt w:val="bullet"/>
      <w:lvlText w:val=""/>
      <w:lvlJc w:val="left"/>
      <w:pPr>
        <w:tabs>
          <w:tab w:val="num" w:pos="1699"/>
        </w:tabs>
        <w:ind w:left="1983" w:hanging="567"/>
      </w:pPr>
      <w:rPr>
        <w:rFonts w:ascii="Symbol" w:hAnsi="Symbol" w:hint="default"/>
        <w:color w:val="auto"/>
      </w:rPr>
    </w:lvl>
    <w:lvl w:ilvl="1" w:tplc="04070003" w:tentative="1">
      <w:start w:val="1"/>
      <w:numFmt w:val="bullet"/>
      <w:lvlText w:val="o"/>
      <w:lvlJc w:val="left"/>
      <w:pPr>
        <w:tabs>
          <w:tab w:val="num" w:pos="2572"/>
        </w:tabs>
        <w:ind w:left="2572" w:hanging="360"/>
      </w:pPr>
      <w:rPr>
        <w:rFonts w:ascii="Courier New" w:hAnsi="Courier New" w:cs="Courier New" w:hint="default"/>
      </w:rPr>
    </w:lvl>
    <w:lvl w:ilvl="2" w:tplc="04070005" w:tentative="1">
      <w:start w:val="1"/>
      <w:numFmt w:val="bullet"/>
      <w:lvlText w:val=""/>
      <w:lvlJc w:val="left"/>
      <w:pPr>
        <w:tabs>
          <w:tab w:val="num" w:pos="3292"/>
        </w:tabs>
        <w:ind w:left="3292" w:hanging="360"/>
      </w:pPr>
      <w:rPr>
        <w:rFonts w:ascii="Wingdings" w:hAnsi="Wingdings" w:hint="default"/>
      </w:rPr>
    </w:lvl>
    <w:lvl w:ilvl="3" w:tplc="04070001" w:tentative="1">
      <w:start w:val="1"/>
      <w:numFmt w:val="bullet"/>
      <w:lvlText w:val=""/>
      <w:lvlJc w:val="left"/>
      <w:pPr>
        <w:tabs>
          <w:tab w:val="num" w:pos="4012"/>
        </w:tabs>
        <w:ind w:left="4012" w:hanging="360"/>
      </w:pPr>
      <w:rPr>
        <w:rFonts w:ascii="Symbol" w:hAnsi="Symbol" w:hint="default"/>
      </w:rPr>
    </w:lvl>
    <w:lvl w:ilvl="4" w:tplc="04070003" w:tentative="1">
      <w:start w:val="1"/>
      <w:numFmt w:val="bullet"/>
      <w:lvlText w:val="o"/>
      <w:lvlJc w:val="left"/>
      <w:pPr>
        <w:tabs>
          <w:tab w:val="num" w:pos="4732"/>
        </w:tabs>
        <w:ind w:left="4732" w:hanging="360"/>
      </w:pPr>
      <w:rPr>
        <w:rFonts w:ascii="Courier New" w:hAnsi="Courier New" w:cs="Courier New" w:hint="default"/>
      </w:rPr>
    </w:lvl>
    <w:lvl w:ilvl="5" w:tplc="04070005" w:tentative="1">
      <w:start w:val="1"/>
      <w:numFmt w:val="bullet"/>
      <w:lvlText w:val=""/>
      <w:lvlJc w:val="left"/>
      <w:pPr>
        <w:tabs>
          <w:tab w:val="num" w:pos="5452"/>
        </w:tabs>
        <w:ind w:left="5452" w:hanging="360"/>
      </w:pPr>
      <w:rPr>
        <w:rFonts w:ascii="Wingdings" w:hAnsi="Wingdings" w:hint="default"/>
      </w:rPr>
    </w:lvl>
    <w:lvl w:ilvl="6" w:tplc="04070001" w:tentative="1">
      <w:start w:val="1"/>
      <w:numFmt w:val="bullet"/>
      <w:lvlText w:val=""/>
      <w:lvlJc w:val="left"/>
      <w:pPr>
        <w:tabs>
          <w:tab w:val="num" w:pos="6172"/>
        </w:tabs>
        <w:ind w:left="6172" w:hanging="360"/>
      </w:pPr>
      <w:rPr>
        <w:rFonts w:ascii="Symbol" w:hAnsi="Symbol" w:hint="default"/>
      </w:rPr>
    </w:lvl>
    <w:lvl w:ilvl="7" w:tplc="04070003" w:tentative="1">
      <w:start w:val="1"/>
      <w:numFmt w:val="bullet"/>
      <w:lvlText w:val="o"/>
      <w:lvlJc w:val="left"/>
      <w:pPr>
        <w:tabs>
          <w:tab w:val="num" w:pos="6892"/>
        </w:tabs>
        <w:ind w:left="6892" w:hanging="360"/>
      </w:pPr>
      <w:rPr>
        <w:rFonts w:ascii="Courier New" w:hAnsi="Courier New" w:cs="Courier New" w:hint="default"/>
      </w:rPr>
    </w:lvl>
    <w:lvl w:ilvl="8" w:tplc="04070005" w:tentative="1">
      <w:start w:val="1"/>
      <w:numFmt w:val="bullet"/>
      <w:lvlText w:val=""/>
      <w:lvlJc w:val="left"/>
      <w:pPr>
        <w:tabs>
          <w:tab w:val="num" w:pos="7612"/>
        </w:tabs>
        <w:ind w:left="7612" w:hanging="360"/>
      </w:pPr>
      <w:rPr>
        <w:rFonts w:ascii="Wingdings" w:hAnsi="Wingdings" w:hint="default"/>
      </w:rPr>
    </w:lvl>
  </w:abstractNum>
  <w:abstractNum w:abstractNumId="12" w15:restartNumberingAfterBreak="0">
    <w:nsid w:val="66300B96"/>
    <w:multiLevelType w:val="multilevel"/>
    <w:tmpl w:val="2A2E81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C024BC6"/>
    <w:multiLevelType w:val="singleLevel"/>
    <w:tmpl w:val="DFD44A1E"/>
    <w:lvl w:ilvl="0">
      <w:start w:val="1"/>
      <w:numFmt w:val="decimal"/>
      <w:lvlText w:val="%1."/>
      <w:lvlJc w:val="left"/>
      <w:pPr>
        <w:tabs>
          <w:tab w:val="num" w:pos="360"/>
        </w:tabs>
        <w:ind w:left="360" w:hanging="360"/>
      </w:pPr>
      <w:rPr>
        <w:rFonts w:ascii="Arial" w:hAnsi="Arial" w:cs="Arial" w:hint="default"/>
        <w:b/>
        <w:i w:val="0"/>
        <w:sz w:val="24"/>
        <w:szCs w:val="24"/>
      </w:rPr>
    </w:lvl>
  </w:abstractNum>
  <w:num w:numId="1" w16cid:durableId="1079208167">
    <w:abstractNumId w:val="12"/>
  </w:num>
  <w:num w:numId="2" w16cid:durableId="813989426">
    <w:abstractNumId w:val="6"/>
  </w:num>
  <w:num w:numId="3" w16cid:durableId="1926720069">
    <w:abstractNumId w:val="8"/>
  </w:num>
  <w:num w:numId="4" w16cid:durableId="721826753">
    <w:abstractNumId w:val="0"/>
  </w:num>
  <w:num w:numId="5" w16cid:durableId="259994128">
    <w:abstractNumId w:val="13"/>
  </w:num>
  <w:num w:numId="6" w16cid:durableId="1627541325">
    <w:abstractNumId w:val="2"/>
  </w:num>
  <w:num w:numId="7" w16cid:durableId="1518302882">
    <w:abstractNumId w:val="11"/>
  </w:num>
  <w:num w:numId="8" w16cid:durableId="2135976817">
    <w:abstractNumId w:val="3"/>
  </w:num>
  <w:num w:numId="9" w16cid:durableId="584146144">
    <w:abstractNumId w:val="5"/>
  </w:num>
  <w:num w:numId="10" w16cid:durableId="1972519946">
    <w:abstractNumId w:val="4"/>
  </w:num>
  <w:num w:numId="11" w16cid:durableId="1686127841">
    <w:abstractNumId w:val="10"/>
  </w:num>
  <w:num w:numId="12" w16cid:durableId="219295505">
    <w:abstractNumId w:val="1"/>
  </w:num>
  <w:num w:numId="13" w16cid:durableId="205146555">
    <w:abstractNumId w:val="7"/>
  </w:num>
  <w:num w:numId="14" w16cid:durableId="2037071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rawingGridHorizontalSpacing w:val="181"/>
  <w:drawingGridVerticalSpacing w:val="181"/>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E56"/>
    <w:rsid w:val="000060E5"/>
    <w:rsid w:val="00013C14"/>
    <w:rsid w:val="00017CAB"/>
    <w:rsid w:val="00026270"/>
    <w:rsid w:val="00026274"/>
    <w:rsid w:val="000268D3"/>
    <w:rsid w:val="00033471"/>
    <w:rsid w:val="00034206"/>
    <w:rsid w:val="0003420E"/>
    <w:rsid w:val="0004236A"/>
    <w:rsid w:val="00044D24"/>
    <w:rsid w:val="00046367"/>
    <w:rsid w:val="0005275E"/>
    <w:rsid w:val="00054CB3"/>
    <w:rsid w:val="00062A16"/>
    <w:rsid w:val="00067E85"/>
    <w:rsid w:val="0007559A"/>
    <w:rsid w:val="00085775"/>
    <w:rsid w:val="0009250B"/>
    <w:rsid w:val="00097001"/>
    <w:rsid w:val="000A0F2A"/>
    <w:rsid w:val="000A1936"/>
    <w:rsid w:val="000A19F5"/>
    <w:rsid w:val="000A573E"/>
    <w:rsid w:val="000B3B90"/>
    <w:rsid w:val="000D0B9B"/>
    <w:rsid w:val="000D7B82"/>
    <w:rsid w:val="000D7D52"/>
    <w:rsid w:val="000E1533"/>
    <w:rsid w:val="000E6BD3"/>
    <w:rsid w:val="000F0340"/>
    <w:rsid w:val="000F1E94"/>
    <w:rsid w:val="00104BCB"/>
    <w:rsid w:val="00105687"/>
    <w:rsid w:val="0011321F"/>
    <w:rsid w:val="001141D1"/>
    <w:rsid w:val="0012158A"/>
    <w:rsid w:val="0012452F"/>
    <w:rsid w:val="001312EB"/>
    <w:rsid w:val="00132647"/>
    <w:rsid w:val="0013368B"/>
    <w:rsid w:val="00133DFD"/>
    <w:rsid w:val="001342BC"/>
    <w:rsid w:val="00137360"/>
    <w:rsid w:val="00155631"/>
    <w:rsid w:val="00161CD1"/>
    <w:rsid w:val="0017171F"/>
    <w:rsid w:val="00172285"/>
    <w:rsid w:val="001745D3"/>
    <w:rsid w:val="00176184"/>
    <w:rsid w:val="00187216"/>
    <w:rsid w:val="00196502"/>
    <w:rsid w:val="001A132C"/>
    <w:rsid w:val="001A152E"/>
    <w:rsid w:val="001A558C"/>
    <w:rsid w:val="001B1738"/>
    <w:rsid w:val="001C0B81"/>
    <w:rsid w:val="001C3039"/>
    <w:rsid w:val="001C4E13"/>
    <w:rsid w:val="001C5C27"/>
    <w:rsid w:val="001D6577"/>
    <w:rsid w:val="001E02CC"/>
    <w:rsid w:val="001E030D"/>
    <w:rsid w:val="001E126B"/>
    <w:rsid w:val="001E36DD"/>
    <w:rsid w:val="001E5D0E"/>
    <w:rsid w:val="001E6BC7"/>
    <w:rsid w:val="001F0FD4"/>
    <w:rsid w:val="001F2967"/>
    <w:rsid w:val="001F42E2"/>
    <w:rsid w:val="001F7FAD"/>
    <w:rsid w:val="002022E4"/>
    <w:rsid w:val="00204499"/>
    <w:rsid w:val="002121C5"/>
    <w:rsid w:val="002138A5"/>
    <w:rsid w:val="00214BC8"/>
    <w:rsid w:val="00221EE7"/>
    <w:rsid w:val="00224B5B"/>
    <w:rsid w:val="00227CB3"/>
    <w:rsid w:val="002320C0"/>
    <w:rsid w:val="002324D3"/>
    <w:rsid w:val="00235A74"/>
    <w:rsid w:val="002467E1"/>
    <w:rsid w:val="002469C9"/>
    <w:rsid w:val="0026238C"/>
    <w:rsid w:val="0026263F"/>
    <w:rsid w:val="0026320F"/>
    <w:rsid w:val="002661EB"/>
    <w:rsid w:val="0026708D"/>
    <w:rsid w:val="00271D95"/>
    <w:rsid w:val="00273C4C"/>
    <w:rsid w:val="00274FF0"/>
    <w:rsid w:val="00277846"/>
    <w:rsid w:val="0028209B"/>
    <w:rsid w:val="00282ADD"/>
    <w:rsid w:val="002922E9"/>
    <w:rsid w:val="00294C1F"/>
    <w:rsid w:val="002B252A"/>
    <w:rsid w:val="002B2A0B"/>
    <w:rsid w:val="002B643D"/>
    <w:rsid w:val="002B7F4A"/>
    <w:rsid w:val="002C0B0E"/>
    <w:rsid w:val="002C7EB2"/>
    <w:rsid w:val="002D2ADD"/>
    <w:rsid w:val="002D5F72"/>
    <w:rsid w:val="002E3774"/>
    <w:rsid w:val="002F5854"/>
    <w:rsid w:val="002F5A9D"/>
    <w:rsid w:val="003042AE"/>
    <w:rsid w:val="003237D3"/>
    <w:rsid w:val="003264CF"/>
    <w:rsid w:val="00330881"/>
    <w:rsid w:val="00331399"/>
    <w:rsid w:val="003315F6"/>
    <w:rsid w:val="00334D1C"/>
    <w:rsid w:val="003406B9"/>
    <w:rsid w:val="0034373E"/>
    <w:rsid w:val="00343E28"/>
    <w:rsid w:val="0034521A"/>
    <w:rsid w:val="00350A13"/>
    <w:rsid w:val="00357C4F"/>
    <w:rsid w:val="003640FD"/>
    <w:rsid w:val="00370A2C"/>
    <w:rsid w:val="00372C8D"/>
    <w:rsid w:val="003764C9"/>
    <w:rsid w:val="003770A9"/>
    <w:rsid w:val="00383368"/>
    <w:rsid w:val="00383E87"/>
    <w:rsid w:val="00386C47"/>
    <w:rsid w:val="003879B2"/>
    <w:rsid w:val="003A258D"/>
    <w:rsid w:val="003A3522"/>
    <w:rsid w:val="003A3E43"/>
    <w:rsid w:val="003B0EAF"/>
    <w:rsid w:val="003C195D"/>
    <w:rsid w:val="003C6ADF"/>
    <w:rsid w:val="003D38AD"/>
    <w:rsid w:val="003E0DA0"/>
    <w:rsid w:val="003E1F01"/>
    <w:rsid w:val="003E530D"/>
    <w:rsid w:val="003E70E8"/>
    <w:rsid w:val="003F18D2"/>
    <w:rsid w:val="003F23E3"/>
    <w:rsid w:val="003F34F2"/>
    <w:rsid w:val="003F4CA2"/>
    <w:rsid w:val="003F4FC6"/>
    <w:rsid w:val="003F527A"/>
    <w:rsid w:val="003F7610"/>
    <w:rsid w:val="0040349B"/>
    <w:rsid w:val="00404119"/>
    <w:rsid w:val="00417DFB"/>
    <w:rsid w:val="0042271F"/>
    <w:rsid w:val="00424B42"/>
    <w:rsid w:val="00431361"/>
    <w:rsid w:val="0043375E"/>
    <w:rsid w:val="00444594"/>
    <w:rsid w:val="004541D5"/>
    <w:rsid w:val="004550F8"/>
    <w:rsid w:val="004559BD"/>
    <w:rsid w:val="00460D69"/>
    <w:rsid w:val="004610FE"/>
    <w:rsid w:val="00466241"/>
    <w:rsid w:val="004710E6"/>
    <w:rsid w:val="00472BBC"/>
    <w:rsid w:val="00481170"/>
    <w:rsid w:val="00484F52"/>
    <w:rsid w:val="00485D17"/>
    <w:rsid w:val="0048753B"/>
    <w:rsid w:val="004960CE"/>
    <w:rsid w:val="004A79AD"/>
    <w:rsid w:val="004B2AEA"/>
    <w:rsid w:val="004B741C"/>
    <w:rsid w:val="004B786A"/>
    <w:rsid w:val="004D732D"/>
    <w:rsid w:val="004E4921"/>
    <w:rsid w:val="004E79D8"/>
    <w:rsid w:val="004F1B20"/>
    <w:rsid w:val="004F4A50"/>
    <w:rsid w:val="004F6719"/>
    <w:rsid w:val="004F6B5F"/>
    <w:rsid w:val="004F6C92"/>
    <w:rsid w:val="00516DD4"/>
    <w:rsid w:val="0051751A"/>
    <w:rsid w:val="00521745"/>
    <w:rsid w:val="0052299F"/>
    <w:rsid w:val="00526499"/>
    <w:rsid w:val="005335D1"/>
    <w:rsid w:val="00533696"/>
    <w:rsid w:val="00543970"/>
    <w:rsid w:val="00544114"/>
    <w:rsid w:val="005449E8"/>
    <w:rsid w:val="00551923"/>
    <w:rsid w:val="005524E2"/>
    <w:rsid w:val="00552962"/>
    <w:rsid w:val="005558E8"/>
    <w:rsid w:val="005610B3"/>
    <w:rsid w:val="00562D6A"/>
    <w:rsid w:val="00563BB0"/>
    <w:rsid w:val="00566E87"/>
    <w:rsid w:val="00570A2F"/>
    <w:rsid w:val="00583877"/>
    <w:rsid w:val="0059552B"/>
    <w:rsid w:val="005964A2"/>
    <w:rsid w:val="005A7779"/>
    <w:rsid w:val="005A7FBF"/>
    <w:rsid w:val="005B41D4"/>
    <w:rsid w:val="005B67F2"/>
    <w:rsid w:val="005B789D"/>
    <w:rsid w:val="005C0063"/>
    <w:rsid w:val="005C1EB7"/>
    <w:rsid w:val="005C2AF6"/>
    <w:rsid w:val="005C6496"/>
    <w:rsid w:val="005D68C0"/>
    <w:rsid w:val="005E13D4"/>
    <w:rsid w:val="005F7ACA"/>
    <w:rsid w:val="006056B9"/>
    <w:rsid w:val="006104EF"/>
    <w:rsid w:val="00612A77"/>
    <w:rsid w:val="00612B31"/>
    <w:rsid w:val="00613E5A"/>
    <w:rsid w:val="00614A9A"/>
    <w:rsid w:val="00615127"/>
    <w:rsid w:val="006172C5"/>
    <w:rsid w:val="0062447D"/>
    <w:rsid w:val="00625585"/>
    <w:rsid w:val="00626365"/>
    <w:rsid w:val="0063151C"/>
    <w:rsid w:val="00633D73"/>
    <w:rsid w:val="0063771F"/>
    <w:rsid w:val="00637955"/>
    <w:rsid w:val="006409F3"/>
    <w:rsid w:val="00641926"/>
    <w:rsid w:val="00647900"/>
    <w:rsid w:val="00653CB3"/>
    <w:rsid w:val="00654485"/>
    <w:rsid w:val="00674CDF"/>
    <w:rsid w:val="00674D60"/>
    <w:rsid w:val="006856F4"/>
    <w:rsid w:val="00686561"/>
    <w:rsid w:val="00694477"/>
    <w:rsid w:val="00697730"/>
    <w:rsid w:val="00697FCD"/>
    <w:rsid w:val="006A3190"/>
    <w:rsid w:val="006A4159"/>
    <w:rsid w:val="006A7325"/>
    <w:rsid w:val="006B7BC7"/>
    <w:rsid w:val="006C19F0"/>
    <w:rsid w:val="006C4464"/>
    <w:rsid w:val="006C67E6"/>
    <w:rsid w:val="006D4851"/>
    <w:rsid w:val="006D6896"/>
    <w:rsid w:val="006F4366"/>
    <w:rsid w:val="006F6A87"/>
    <w:rsid w:val="006F7201"/>
    <w:rsid w:val="00701204"/>
    <w:rsid w:val="00704AE9"/>
    <w:rsid w:val="0070715C"/>
    <w:rsid w:val="00710025"/>
    <w:rsid w:val="00715075"/>
    <w:rsid w:val="0071617D"/>
    <w:rsid w:val="00723D29"/>
    <w:rsid w:val="0072713A"/>
    <w:rsid w:val="00731756"/>
    <w:rsid w:val="0073382E"/>
    <w:rsid w:val="00734C77"/>
    <w:rsid w:val="00736B42"/>
    <w:rsid w:val="0074159D"/>
    <w:rsid w:val="00747472"/>
    <w:rsid w:val="00751203"/>
    <w:rsid w:val="00753E6A"/>
    <w:rsid w:val="00762B39"/>
    <w:rsid w:val="007733F2"/>
    <w:rsid w:val="007740E7"/>
    <w:rsid w:val="00782DDB"/>
    <w:rsid w:val="00786C2D"/>
    <w:rsid w:val="007A3F81"/>
    <w:rsid w:val="007A42B8"/>
    <w:rsid w:val="007B0CCC"/>
    <w:rsid w:val="007B3D46"/>
    <w:rsid w:val="007B4104"/>
    <w:rsid w:val="007C1510"/>
    <w:rsid w:val="007C45DE"/>
    <w:rsid w:val="007D009F"/>
    <w:rsid w:val="007D39C2"/>
    <w:rsid w:val="007E0A23"/>
    <w:rsid w:val="007E40DA"/>
    <w:rsid w:val="007E59DE"/>
    <w:rsid w:val="007F41D4"/>
    <w:rsid w:val="007F68A0"/>
    <w:rsid w:val="00801B41"/>
    <w:rsid w:val="00805ED9"/>
    <w:rsid w:val="00821BF4"/>
    <w:rsid w:val="00825515"/>
    <w:rsid w:val="00836438"/>
    <w:rsid w:val="008372F6"/>
    <w:rsid w:val="00840D21"/>
    <w:rsid w:val="00845D1B"/>
    <w:rsid w:val="00852B5F"/>
    <w:rsid w:val="008551D1"/>
    <w:rsid w:val="00856A5A"/>
    <w:rsid w:val="008576B9"/>
    <w:rsid w:val="00857927"/>
    <w:rsid w:val="008614C2"/>
    <w:rsid w:val="00862EA8"/>
    <w:rsid w:val="00864824"/>
    <w:rsid w:val="00870454"/>
    <w:rsid w:val="0089509B"/>
    <w:rsid w:val="00896833"/>
    <w:rsid w:val="008A0EE0"/>
    <w:rsid w:val="008B3AA0"/>
    <w:rsid w:val="008B465F"/>
    <w:rsid w:val="008B7CF8"/>
    <w:rsid w:val="008C369E"/>
    <w:rsid w:val="008C36EF"/>
    <w:rsid w:val="008C4AB5"/>
    <w:rsid w:val="008D0D30"/>
    <w:rsid w:val="008D355D"/>
    <w:rsid w:val="008D5AE4"/>
    <w:rsid w:val="008E285D"/>
    <w:rsid w:val="008F7126"/>
    <w:rsid w:val="008F77C6"/>
    <w:rsid w:val="009003F3"/>
    <w:rsid w:val="00901EA0"/>
    <w:rsid w:val="009146F7"/>
    <w:rsid w:val="009171D6"/>
    <w:rsid w:val="009175D6"/>
    <w:rsid w:val="009245A5"/>
    <w:rsid w:val="00924E46"/>
    <w:rsid w:val="0093344D"/>
    <w:rsid w:val="00941B8C"/>
    <w:rsid w:val="00963D82"/>
    <w:rsid w:val="00966CCD"/>
    <w:rsid w:val="00973FCF"/>
    <w:rsid w:val="00975BD1"/>
    <w:rsid w:val="0099211C"/>
    <w:rsid w:val="0099567D"/>
    <w:rsid w:val="00996E53"/>
    <w:rsid w:val="009A0291"/>
    <w:rsid w:val="009A5B2C"/>
    <w:rsid w:val="009A71F9"/>
    <w:rsid w:val="009B6872"/>
    <w:rsid w:val="009B6E95"/>
    <w:rsid w:val="009C2A2D"/>
    <w:rsid w:val="009C48C2"/>
    <w:rsid w:val="009C4F90"/>
    <w:rsid w:val="009C6E89"/>
    <w:rsid w:val="009C731A"/>
    <w:rsid w:val="009D373B"/>
    <w:rsid w:val="009D4785"/>
    <w:rsid w:val="009D6500"/>
    <w:rsid w:val="009D6785"/>
    <w:rsid w:val="009E0502"/>
    <w:rsid w:val="009E343F"/>
    <w:rsid w:val="009E3D58"/>
    <w:rsid w:val="009F5D70"/>
    <w:rsid w:val="009F5EC6"/>
    <w:rsid w:val="00A00933"/>
    <w:rsid w:val="00A15DCF"/>
    <w:rsid w:val="00A1689E"/>
    <w:rsid w:val="00A16A75"/>
    <w:rsid w:val="00A172B8"/>
    <w:rsid w:val="00A227AF"/>
    <w:rsid w:val="00A34550"/>
    <w:rsid w:val="00A41B76"/>
    <w:rsid w:val="00A45589"/>
    <w:rsid w:val="00A4572F"/>
    <w:rsid w:val="00A50E94"/>
    <w:rsid w:val="00A5298C"/>
    <w:rsid w:val="00A6129C"/>
    <w:rsid w:val="00A72DE9"/>
    <w:rsid w:val="00A827C9"/>
    <w:rsid w:val="00A83548"/>
    <w:rsid w:val="00A871D8"/>
    <w:rsid w:val="00A90C20"/>
    <w:rsid w:val="00A93809"/>
    <w:rsid w:val="00A96D31"/>
    <w:rsid w:val="00A97037"/>
    <w:rsid w:val="00AA03E3"/>
    <w:rsid w:val="00AA08A4"/>
    <w:rsid w:val="00AA0B10"/>
    <w:rsid w:val="00AA1435"/>
    <w:rsid w:val="00AB3E7D"/>
    <w:rsid w:val="00AB6F60"/>
    <w:rsid w:val="00AC12FC"/>
    <w:rsid w:val="00AC2C45"/>
    <w:rsid w:val="00AC3998"/>
    <w:rsid w:val="00AD3D1C"/>
    <w:rsid w:val="00AD6DA1"/>
    <w:rsid w:val="00AE3C19"/>
    <w:rsid w:val="00AF0DDD"/>
    <w:rsid w:val="00AF6403"/>
    <w:rsid w:val="00AF7E1B"/>
    <w:rsid w:val="00B00898"/>
    <w:rsid w:val="00B04800"/>
    <w:rsid w:val="00B11163"/>
    <w:rsid w:val="00B23F1A"/>
    <w:rsid w:val="00B313D9"/>
    <w:rsid w:val="00B35DFB"/>
    <w:rsid w:val="00B365E5"/>
    <w:rsid w:val="00B41B63"/>
    <w:rsid w:val="00B41D54"/>
    <w:rsid w:val="00B50B56"/>
    <w:rsid w:val="00B50E2B"/>
    <w:rsid w:val="00B54E67"/>
    <w:rsid w:val="00B626DE"/>
    <w:rsid w:val="00B81523"/>
    <w:rsid w:val="00B9034C"/>
    <w:rsid w:val="00B94E40"/>
    <w:rsid w:val="00BA3BAE"/>
    <w:rsid w:val="00BB4C43"/>
    <w:rsid w:val="00BC5981"/>
    <w:rsid w:val="00BD1591"/>
    <w:rsid w:val="00BD486D"/>
    <w:rsid w:val="00BD6D58"/>
    <w:rsid w:val="00BE12C2"/>
    <w:rsid w:val="00BE4473"/>
    <w:rsid w:val="00BE6B08"/>
    <w:rsid w:val="00BF4774"/>
    <w:rsid w:val="00BF522E"/>
    <w:rsid w:val="00C02D39"/>
    <w:rsid w:val="00C11FD5"/>
    <w:rsid w:val="00C23C07"/>
    <w:rsid w:val="00C246FF"/>
    <w:rsid w:val="00C32654"/>
    <w:rsid w:val="00C35BE3"/>
    <w:rsid w:val="00C37609"/>
    <w:rsid w:val="00C43466"/>
    <w:rsid w:val="00C44984"/>
    <w:rsid w:val="00C455E9"/>
    <w:rsid w:val="00C461DB"/>
    <w:rsid w:val="00C5270A"/>
    <w:rsid w:val="00C65DD3"/>
    <w:rsid w:val="00C776DD"/>
    <w:rsid w:val="00C81103"/>
    <w:rsid w:val="00C86744"/>
    <w:rsid w:val="00C86FC7"/>
    <w:rsid w:val="00C87338"/>
    <w:rsid w:val="00C95D62"/>
    <w:rsid w:val="00C96C01"/>
    <w:rsid w:val="00CA2CE5"/>
    <w:rsid w:val="00CA706C"/>
    <w:rsid w:val="00CB26F2"/>
    <w:rsid w:val="00CB5BC3"/>
    <w:rsid w:val="00CC0610"/>
    <w:rsid w:val="00CE0410"/>
    <w:rsid w:val="00CE36D6"/>
    <w:rsid w:val="00CF18ED"/>
    <w:rsid w:val="00CF5DFC"/>
    <w:rsid w:val="00D15855"/>
    <w:rsid w:val="00D2427C"/>
    <w:rsid w:val="00D3031C"/>
    <w:rsid w:val="00D40D46"/>
    <w:rsid w:val="00D45029"/>
    <w:rsid w:val="00D526EC"/>
    <w:rsid w:val="00D53B94"/>
    <w:rsid w:val="00D63263"/>
    <w:rsid w:val="00D735CF"/>
    <w:rsid w:val="00D8428A"/>
    <w:rsid w:val="00D8538E"/>
    <w:rsid w:val="00D90119"/>
    <w:rsid w:val="00D92A2B"/>
    <w:rsid w:val="00D96F47"/>
    <w:rsid w:val="00D9709B"/>
    <w:rsid w:val="00D97BCD"/>
    <w:rsid w:val="00DA0585"/>
    <w:rsid w:val="00DA0C7F"/>
    <w:rsid w:val="00DB5DAF"/>
    <w:rsid w:val="00DC00FA"/>
    <w:rsid w:val="00DC3B01"/>
    <w:rsid w:val="00DC49FA"/>
    <w:rsid w:val="00DD68AA"/>
    <w:rsid w:val="00DE162B"/>
    <w:rsid w:val="00DE3510"/>
    <w:rsid w:val="00DE5808"/>
    <w:rsid w:val="00DE7340"/>
    <w:rsid w:val="00DF4F40"/>
    <w:rsid w:val="00E0072E"/>
    <w:rsid w:val="00E04D7D"/>
    <w:rsid w:val="00E04EAE"/>
    <w:rsid w:val="00E05187"/>
    <w:rsid w:val="00E116F6"/>
    <w:rsid w:val="00E23971"/>
    <w:rsid w:val="00E23C66"/>
    <w:rsid w:val="00E4213A"/>
    <w:rsid w:val="00E45627"/>
    <w:rsid w:val="00E45B5B"/>
    <w:rsid w:val="00E51629"/>
    <w:rsid w:val="00E636DD"/>
    <w:rsid w:val="00E63D46"/>
    <w:rsid w:val="00E63DFB"/>
    <w:rsid w:val="00E7758D"/>
    <w:rsid w:val="00E83EE9"/>
    <w:rsid w:val="00E8416B"/>
    <w:rsid w:val="00E85951"/>
    <w:rsid w:val="00E91732"/>
    <w:rsid w:val="00E925DD"/>
    <w:rsid w:val="00E94B69"/>
    <w:rsid w:val="00E953C5"/>
    <w:rsid w:val="00E9544E"/>
    <w:rsid w:val="00E96367"/>
    <w:rsid w:val="00EA1020"/>
    <w:rsid w:val="00EA15FC"/>
    <w:rsid w:val="00EA1DAD"/>
    <w:rsid w:val="00EA4800"/>
    <w:rsid w:val="00EA5CAB"/>
    <w:rsid w:val="00EB0C9A"/>
    <w:rsid w:val="00EB7200"/>
    <w:rsid w:val="00EC475C"/>
    <w:rsid w:val="00ED1F60"/>
    <w:rsid w:val="00ED2151"/>
    <w:rsid w:val="00ED4E21"/>
    <w:rsid w:val="00ED6D25"/>
    <w:rsid w:val="00EF1B89"/>
    <w:rsid w:val="00F0760B"/>
    <w:rsid w:val="00F1322C"/>
    <w:rsid w:val="00F14E56"/>
    <w:rsid w:val="00F25F69"/>
    <w:rsid w:val="00F341B0"/>
    <w:rsid w:val="00F37690"/>
    <w:rsid w:val="00F40E6D"/>
    <w:rsid w:val="00F41F05"/>
    <w:rsid w:val="00F54314"/>
    <w:rsid w:val="00F55EED"/>
    <w:rsid w:val="00F62E26"/>
    <w:rsid w:val="00F67CF8"/>
    <w:rsid w:val="00F70CD8"/>
    <w:rsid w:val="00F85557"/>
    <w:rsid w:val="00F855E9"/>
    <w:rsid w:val="00F94E11"/>
    <w:rsid w:val="00FA13FC"/>
    <w:rsid w:val="00FA42E2"/>
    <w:rsid w:val="00FB6694"/>
    <w:rsid w:val="00FD2BBC"/>
    <w:rsid w:val="00FD42DF"/>
    <w:rsid w:val="00FD5A60"/>
    <w:rsid w:val="00FE0F4B"/>
    <w:rsid w:val="00FE1909"/>
    <w:rsid w:val="00FE271B"/>
    <w:rsid w:val="00FE29CB"/>
    <w:rsid w:val="00FE3228"/>
    <w:rsid w:val="00FE3C68"/>
    <w:rsid w:val="00FE707C"/>
    <w:rsid w:val="00FF2F90"/>
    <w:rsid w:val="00FF3146"/>
    <w:rsid w:val="00FF46F6"/>
    <w:rsid w:val="00FF5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3"/>
    <o:shapelayout v:ext="edit">
      <o:idmap v:ext="edit" data="1"/>
    </o:shapelayout>
  </w:shapeDefaults>
  <w:decimalSymbol w:val=","/>
  <w:listSeparator w:val=";"/>
  <w14:docId w14:val="2048DAB8"/>
  <w15:docId w15:val="{5EBC7425-33A1-4266-AA3C-26E18329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36DD"/>
    <w:rPr>
      <w:rFonts w:ascii="Arial" w:hAnsi="Arial" w:cs="Arial"/>
      <w:bCs/>
      <w:sz w:val="22"/>
      <w:szCs w:val="22"/>
    </w:rPr>
  </w:style>
  <w:style w:type="paragraph" w:styleId="berschrift1">
    <w:name w:val="heading 1"/>
    <w:basedOn w:val="Standard"/>
    <w:next w:val="Standard"/>
    <w:link w:val="berschrift1Zchn"/>
    <w:qFormat/>
    <w:rsid w:val="00E636DD"/>
    <w:pPr>
      <w:keepNext/>
      <w:outlineLvl w:val="0"/>
    </w:pPr>
    <w:rPr>
      <w:rFonts w:ascii="Times New Roman" w:hAnsi="Times New Roman"/>
      <w:b/>
      <w:bCs w:val="0"/>
    </w:rPr>
  </w:style>
  <w:style w:type="paragraph" w:styleId="berschrift3">
    <w:name w:val="heading 3"/>
    <w:basedOn w:val="Standard"/>
    <w:next w:val="Standard"/>
    <w:qFormat/>
    <w:rsid w:val="00C35BE3"/>
    <w:pPr>
      <w:keepNext/>
      <w:spacing w:before="240" w:after="60"/>
      <w:outlineLvl w:val="2"/>
    </w:pPr>
    <w:rPr>
      <w:b/>
      <w:sz w:val="26"/>
      <w:szCs w:val="26"/>
    </w:rPr>
  </w:style>
  <w:style w:type="paragraph" w:styleId="berschrift4">
    <w:name w:val="heading 4"/>
    <w:basedOn w:val="Standard"/>
    <w:next w:val="Standard"/>
    <w:qFormat/>
    <w:rsid w:val="002661EB"/>
    <w:pPr>
      <w:keepNext/>
      <w:spacing w:before="240" w:after="60"/>
      <w:outlineLvl w:val="3"/>
    </w:pPr>
    <w:rPr>
      <w:rFonts w:ascii="Times New Roman" w:hAnsi="Times New Roman" w:cs="Times New Roman"/>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36DD"/>
    <w:pPr>
      <w:tabs>
        <w:tab w:val="center" w:pos="4536"/>
        <w:tab w:val="right" w:pos="9072"/>
      </w:tabs>
    </w:pPr>
  </w:style>
  <w:style w:type="paragraph" w:styleId="Fuzeile">
    <w:name w:val="footer"/>
    <w:basedOn w:val="Standard"/>
    <w:rsid w:val="00E636DD"/>
    <w:pPr>
      <w:tabs>
        <w:tab w:val="center" w:pos="4536"/>
        <w:tab w:val="right" w:pos="9072"/>
      </w:tabs>
    </w:pPr>
  </w:style>
  <w:style w:type="character" w:styleId="Seitenzahl">
    <w:name w:val="page number"/>
    <w:basedOn w:val="Absatz-Standardschriftart"/>
    <w:rsid w:val="00E636DD"/>
    <w:rPr>
      <w:rFonts w:ascii="Times New Roman" w:hAnsi="Times New Roman"/>
    </w:rPr>
  </w:style>
  <w:style w:type="table" w:styleId="Tabellenraster">
    <w:name w:val="Table Grid"/>
    <w:basedOn w:val="NormaleTabelle"/>
    <w:rsid w:val="001C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00FA"/>
    <w:rPr>
      <w:color w:val="0000FF"/>
      <w:u w:val="single"/>
    </w:rPr>
  </w:style>
  <w:style w:type="paragraph" w:styleId="Verzeichnis3">
    <w:name w:val="toc 3"/>
    <w:basedOn w:val="Standard"/>
    <w:next w:val="Standard"/>
    <w:autoRedefine/>
    <w:semiHidden/>
    <w:rsid w:val="00F341B0"/>
    <w:pPr>
      <w:ind w:left="440"/>
    </w:pPr>
  </w:style>
  <w:style w:type="paragraph" w:styleId="Liste">
    <w:name w:val="List"/>
    <w:basedOn w:val="Standard"/>
    <w:rsid w:val="00F40E6D"/>
    <w:pPr>
      <w:ind w:left="283" w:right="113" w:hanging="283"/>
    </w:pPr>
    <w:rPr>
      <w:bCs w:val="0"/>
    </w:rPr>
  </w:style>
  <w:style w:type="paragraph" w:customStyle="1" w:styleId="Formatvorlage1">
    <w:name w:val="Formatvorlage1"/>
    <w:basedOn w:val="Standard"/>
    <w:rsid w:val="000060E5"/>
    <w:pPr>
      <w:jc w:val="center"/>
    </w:pPr>
    <w:rPr>
      <w:rFonts w:cs="Times New Roman"/>
      <w:b/>
      <w:bCs w:val="0"/>
      <w:sz w:val="28"/>
      <w:szCs w:val="20"/>
    </w:rPr>
  </w:style>
  <w:style w:type="paragraph" w:customStyle="1" w:styleId="FormatvorlageFettSchwarzBlockLinks05cm">
    <w:name w:val="Formatvorlage Fett Schwarz Block Links:  05 cm"/>
    <w:basedOn w:val="Standard"/>
    <w:rsid w:val="000060E5"/>
    <w:pPr>
      <w:keepLines/>
      <w:jc w:val="both"/>
    </w:pPr>
    <w:rPr>
      <w:rFonts w:cs="Times New Roman"/>
      <w:b/>
      <w:color w:val="000000"/>
      <w:sz w:val="20"/>
      <w:szCs w:val="20"/>
    </w:rPr>
  </w:style>
  <w:style w:type="paragraph" w:customStyle="1" w:styleId="FormatvorlageBlockLinks05cm">
    <w:name w:val="Formatvorlage Block Links:  05 cm"/>
    <w:basedOn w:val="Standard"/>
    <w:rsid w:val="000060E5"/>
    <w:pPr>
      <w:jc w:val="both"/>
    </w:pPr>
    <w:rPr>
      <w:rFonts w:cs="Times New Roman"/>
      <w:bCs w:val="0"/>
      <w:sz w:val="20"/>
      <w:szCs w:val="20"/>
    </w:rPr>
  </w:style>
  <w:style w:type="paragraph" w:customStyle="1" w:styleId="FormatvorlageBlockLinks05cm1">
    <w:name w:val="Formatvorlage Block Links:  05 cm1"/>
    <w:basedOn w:val="Standard"/>
    <w:rsid w:val="000060E5"/>
    <w:pPr>
      <w:jc w:val="both"/>
    </w:pPr>
    <w:rPr>
      <w:rFonts w:cs="Times New Roman"/>
      <w:bCs w:val="0"/>
      <w:sz w:val="20"/>
      <w:szCs w:val="20"/>
    </w:rPr>
  </w:style>
  <w:style w:type="paragraph" w:styleId="Sprechblasentext">
    <w:name w:val="Balloon Text"/>
    <w:basedOn w:val="Standard"/>
    <w:semiHidden/>
    <w:rsid w:val="00D53B94"/>
    <w:rPr>
      <w:rFonts w:ascii="Tahoma" w:hAnsi="Tahoma" w:cs="Tahoma"/>
      <w:sz w:val="16"/>
      <w:szCs w:val="16"/>
    </w:rPr>
  </w:style>
  <w:style w:type="character" w:styleId="Kommentarzeichen">
    <w:name w:val="annotation reference"/>
    <w:basedOn w:val="Absatz-Standardschriftart"/>
    <w:rsid w:val="009F5EC6"/>
    <w:rPr>
      <w:sz w:val="16"/>
      <w:szCs w:val="16"/>
    </w:rPr>
  </w:style>
  <w:style w:type="paragraph" w:styleId="Kommentartext">
    <w:name w:val="annotation text"/>
    <w:basedOn w:val="Standard"/>
    <w:link w:val="KommentartextZchn"/>
    <w:rsid w:val="009F5EC6"/>
    <w:rPr>
      <w:sz w:val="20"/>
      <w:szCs w:val="20"/>
    </w:rPr>
  </w:style>
  <w:style w:type="character" w:customStyle="1" w:styleId="KommentartextZchn">
    <w:name w:val="Kommentartext Zchn"/>
    <w:basedOn w:val="Absatz-Standardschriftart"/>
    <w:link w:val="Kommentartext"/>
    <w:rsid w:val="009F5EC6"/>
    <w:rPr>
      <w:rFonts w:ascii="Arial" w:hAnsi="Arial" w:cs="Arial"/>
      <w:bCs/>
    </w:rPr>
  </w:style>
  <w:style w:type="paragraph" w:styleId="Kommentarthema">
    <w:name w:val="annotation subject"/>
    <w:basedOn w:val="Kommentartext"/>
    <w:next w:val="Kommentartext"/>
    <w:link w:val="KommentarthemaZchn"/>
    <w:rsid w:val="009F5EC6"/>
    <w:rPr>
      <w:b/>
    </w:rPr>
  </w:style>
  <w:style w:type="character" w:customStyle="1" w:styleId="KommentarthemaZchn">
    <w:name w:val="Kommentarthema Zchn"/>
    <w:basedOn w:val="KommentartextZchn"/>
    <w:link w:val="Kommentarthema"/>
    <w:rsid w:val="009F5EC6"/>
    <w:rPr>
      <w:rFonts w:ascii="Arial" w:hAnsi="Arial" w:cs="Arial"/>
      <w:b/>
      <w:bCs/>
    </w:rPr>
  </w:style>
  <w:style w:type="paragraph" w:styleId="berarbeitung">
    <w:name w:val="Revision"/>
    <w:hidden/>
    <w:uiPriority w:val="99"/>
    <w:semiHidden/>
    <w:rsid w:val="009F5EC6"/>
    <w:rPr>
      <w:rFonts w:ascii="Arial" w:hAnsi="Arial" w:cs="Arial"/>
      <w:bCs/>
      <w:sz w:val="22"/>
      <w:szCs w:val="22"/>
    </w:rPr>
  </w:style>
  <w:style w:type="character" w:customStyle="1" w:styleId="berschrift1Zchn">
    <w:name w:val="Überschrift 1 Zchn"/>
    <w:basedOn w:val="Absatz-Standardschriftart"/>
    <w:link w:val="berschrift1"/>
    <w:rsid w:val="009F5D70"/>
    <w:rPr>
      <w:rFonts w:ascii="Times New Roman" w:hAnsi="Times New Roman" w:cs="Arial"/>
      <w:b/>
      <w:sz w:val="22"/>
      <w:szCs w:val="22"/>
    </w:rPr>
  </w:style>
  <w:style w:type="paragraph" w:styleId="Listenabsatz">
    <w:name w:val="List Paragraph"/>
    <w:basedOn w:val="Standard"/>
    <w:uiPriority w:val="34"/>
    <w:qFormat/>
    <w:rsid w:val="00484F52"/>
    <w:pPr>
      <w:ind w:left="720"/>
      <w:contextualSpacing/>
    </w:pPr>
  </w:style>
  <w:style w:type="character" w:styleId="NichtaufgelsteErwhnung">
    <w:name w:val="Unresolved Mention"/>
    <w:basedOn w:val="Absatz-Standardschriftart"/>
    <w:uiPriority w:val="99"/>
    <w:semiHidden/>
    <w:unhideWhenUsed/>
    <w:rsid w:val="00A6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81782">
      <w:bodyDiv w:val="1"/>
      <w:marLeft w:val="0"/>
      <w:marRight w:val="0"/>
      <w:marTop w:val="0"/>
      <w:marBottom w:val="0"/>
      <w:divBdr>
        <w:top w:val="none" w:sz="0" w:space="0" w:color="auto"/>
        <w:left w:val="none" w:sz="0" w:space="0" w:color="auto"/>
        <w:bottom w:val="none" w:sz="0" w:space="0" w:color="auto"/>
        <w:right w:val="none" w:sz="0" w:space="0" w:color="auto"/>
      </w:divBdr>
    </w:div>
    <w:div w:id="1077096920">
      <w:bodyDiv w:val="1"/>
      <w:marLeft w:val="0"/>
      <w:marRight w:val="0"/>
      <w:marTop w:val="0"/>
      <w:marBottom w:val="0"/>
      <w:divBdr>
        <w:top w:val="none" w:sz="0" w:space="0" w:color="auto"/>
        <w:left w:val="none" w:sz="0" w:space="0" w:color="auto"/>
        <w:bottom w:val="none" w:sz="0" w:space="0" w:color="auto"/>
        <w:right w:val="none" w:sz="0" w:space="0" w:color="auto"/>
      </w:divBdr>
    </w:div>
    <w:div w:id="1418020764">
      <w:bodyDiv w:val="1"/>
      <w:marLeft w:val="0"/>
      <w:marRight w:val="0"/>
      <w:marTop w:val="0"/>
      <w:marBottom w:val="0"/>
      <w:divBdr>
        <w:top w:val="none" w:sz="0" w:space="0" w:color="auto"/>
        <w:left w:val="none" w:sz="0" w:space="0" w:color="auto"/>
        <w:bottom w:val="none" w:sz="0" w:space="0" w:color="auto"/>
        <w:right w:val="none" w:sz="0" w:space="0" w:color="auto"/>
      </w:divBdr>
    </w:div>
    <w:div w:id="1442647901">
      <w:bodyDiv w:val="1"/>
      <w:marLeft w:val="0"/>
      <w:marRight w:val="0"/>
      <w:marTop w:val="0"/>
      <w:marBottom w:val="0"/>
      <w:divBdr>
        <w:top w:val="none" w:sz="0" w:space="0" w:color="auto"/>
        <w:left w:val="none" w:sz="0" w:space="0" w:color="auto"/>
        <w:bottom w:val="none" w:sz="0" w:space="0" w:color="auto"/>
        <w:right w:val="none" w:sz="0" w:space="0" w:color="auto"/>
      </w:divBdr>
    </w:div>
    <w:div w:id="1584490632">
      <w:bodyDiv w:val="1"/>
      <w:marLeft w:val="0"/>
      <w:marRight w:val="0"/>
      <w:marTop w:val="0"/>
      <w:marBottom w:val="0"/>
      <w:divBdr>
        <w:top w:val="none" w:sz="0" w:space="0" w:color="auto"/>
        <w:left w:val="none" w:sz="0" w:space="0" w:color="auto"/>
        <w:bottom w:val="none" w:sz="0" w:space="0" w:color="auto"/>
        <w:right w:val="none" w:sz="0" w:space="0" w:color="auto"/>
      </w:divBdr>
    </w:div>
    <w:div w:id="16279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nfer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nfert.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7DC2-23C9-4B70-A72F-3DA85A70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3272</Words>
  <Characters>17854</Characters>
  <Application>Microsoft Office Word</Application>
  <DocSecurity>0</DocSecurity>
  <Lines>148</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Renfert GmbH</Company>
  <LinksUpToDate>false</LinksUpToDate>
  <CharactersWithSpaces>21084</CharactersWithSpaces>
  <SharedDoc>false</SharedDoc>
  <HLinks>
    <vt:vector size="12" baseType="variant">
      <vt:variant>
        <vt:i4>2621536</vt:i4>
      </vt:variant>
      <vt:variant>
        <vt:i4>3</vt:i4>
      </vt:variant>
      <vt:variant>
        <vt:i4>0</vt:i4>
      </vt:variant>
      <vt:variant>
        <vt:i4>5</vt:i4>
      </vt:variant>
      <vt:variant>
        <vt:lpwstr>http://www.renfert.com/</vt:lpwstr>
      </vt:variant>
      <vt:variant>
        <vt:lpwstr/>
      </vt:variant>
      <vt:variant>
        <vt:i4>1900581</vt:i4>
      </vt:variant>
      <vt:variant>
        <vt:i4>0</vt:i4>
      </vt:variant>
      <vt:variant>
        <vt:i4>0</vt:i4>
      </vt:variant>
      <vt:variant>
        <vt:i4>5</vt:i4>
      </vt:variant>
      <vt:variant>
        <vt:lpwstr>mailto:info@renfert.com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ALLGEMEINE GESCHÄFTSBEDINGUNGEN</dc:subject>
  <dc:creator>nellessen</dc:creator>
  <cp:lastModifiedBy>Braams Thomas</cp:lastModifiedBy>
  <cp:revision>3</cp:revision>
  <cp:lastPrinted>2020-09-24T09:28:00Z</cp:lastPrinted>
  <dcterms:created xsi:type="dcterms:W3CDTF">2024-09-26T07:53:00Z</dcterms:created>
  <dcterms:modified xsi:type="dcterms:W3CDTF">2024-11-13T13:30:00Z</dcterms:modified>
</cp:coreProperties>
</file>